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BB084" w14:textId="77777777" w:rsidR="00A77B3E" w:rsidRPr="00894EB3" w:rsidRDefault="00A77B3E">
      <w:pPr>
        <w:rPr>
          <w:lang w:val="bg-BG"/>
        </w:rPr>
      </w:pPr>
    </w:p>
    <w:p w14:paraId="36DFA4AD" w14:textId="77777777" w:rsidR="00A77B3E" w:rsidRDefault="00E62050">
      <w:pPr>
        <w:jc w:val="center"/>
        <w:rPr>
          <w:color w:val="000000"/>
          <w:sz w:val="32"/>
        </w:rPr>
      </w:pPr>
      <w:r>
        <w:rPr>
          <w:color w:val="000000"/>
          <w:sz w:val="32"/>
        </w:rPr>
        <w:t xml:space="preserve">SFC2021 </w:t>
      </w:r>
      <w:r w:rsidR="000579C9" w:rsidRPr="000579C9">
        <w:rPr>
          <w:color w:val="000000"/>
          <w:sz w:val="32"/>
        </w:rPr>
        <w:t>Програма за ФУМИ, ФВС и ИУГВП</w:t>
      </w:r>
    </w:p>
    <w:p w14:paraId="3CBD49D4" w14:textId="77777777" w:rsidR="00A77B3E" w:rsidRDefault="00A77B3E">
      <w:pPr>
        <w:jc w:val="center"/>
        <w:rPr>
          <w:color w:val="000000"/>
          <w:sz w:val="32"/>
        </w:rPr>
      </w:pPr>
    </w:p>
    <w:p w14:paraId="44C620B5" w14:textId="77777777" w:rsidR="00A77B3E" w:rsidRDefault="00A77B3E">
      <w:pPr>
        <w:jc w:val="center"/>
        <w:rPr>
          <w:color w:val="000000"/>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0579C9" w14:paraId="410ADE70" w14:textId="77777777" w:rsidTr="000579C9">
        <w:trPr>
          <w:trHeight w:val="240"/>
        </w:trPr>
        <w:tc>
          <w:tcPr>
            <w:tcW w:w="2500" w:type="pct"/>
            <w:tcMar>
              <w:left w:w="100" w:type="dxa"/>
              <w:right w:w="100" w:type="dxa"/>
            </w:tcMar>
          </w:tcPr>
          <w:p w14:paraId="7FE19FA9" w14:textId="77777777" w:rsidR="000579C9" w:rsidRDefault="000579C9" w:rsidP="000579C9">
            <w:pPr>
              <w:rPr>
                <w:color w:val="000000"/>
              </w:rPr>
            </w:pPr>
            <w:r w:rsidRPr="003B297C">
              <w:t>№ по CCI</w:t>
            </w:r>
          </w:p>
        </w:tc>
        <w:tc>
          <w:tcPr>
            <w:tcW w:w="2500" w:type="pct"/>
            <w:tcMar>
              <w:left w:w="100" w:type="dxa"/>
              <w:right w:w="100" w:type="dxa"/>
            </w:tcMar>
          </w:tcPr>
          <w:p w14:paraId="0DB7036B" w14:textId="77777777" w:rsidR="000579C9" w:rsidRDefault="000579C9" w:rsidP="000579C9">
            <w:pPr>
              <w:rPr>
                <w:color w:val="000000"/>
              </w:rPr>
            </w:pPr>
            <w:r w:rsidRPr="003B297C">
              <w:t>2021BG65ISPR001</w:t>
            </w:r>
          </w:p>
        </w:tc>
      </w:tr>
      <w:tr w:rsidR="000579C9" w14:paraId="56FA4259" w14:textId="77777777" w:rsidTr="000579C9">
        <w:trPr>
          <w:trHeight w:val="240"/>
        </w:trPr>
        <w:tc>
          <w:tcPr>
            <w:tcW w:w="2500" w:type="pct"/>
            <w:tcMar>
              <w:left w:w="100" w:type="dxa"/>
              <w:right w:w="100" w:type="dxa"/>
            </w:tcMar>
          </w:tcPr>
          <w:p w14:paraId="59043BDD" w14:textId="77777777" w:rsidR="000579C9" w:rsidRDefault="000579C9" w:rsidP="000579C9">
            <w:pPr>
              <w:rPr>
                <w:color w:val="000000"/>
              </w:rPr>
            </w:pPr>
            <w:r w:rsidRPr="003B297C">
              <w:t>Наименование на английски език</w:t>
            </w:r>
          </w:p>
        </w:tc>
        <w:tc>
          <w:tcPr>
            <w:tcW w:w="2500" w:type="pct"/>
            <w:tcMar>
              <w:left w:w="100" w:type="dxa"/>
              <w:right w:w="100" w:type="dxa"/>
            </w:tcMar>
          </w:tcPr>
          <w:p w14:paraId="12796A93" w14:textId="77777777" w:rsidR="000579C9" w:rsidRDefault="000579C9" w:rsidP="000579C9">
            <w:pPr>
              <w:rPr>
                <w:color w:val="000000"/>
              </w:rPr>
            </w:pPr>
            <w:r w:rsidRPr="003B297C">
              <w:t>Programme Bulgaria - ISF</w:t>
            </w:r>
          </w:p>
        </w:tc>
      </w:tr>
      <w:tr w:rsidR="000579C9" w14:paraId="32D612CC" w14:textId="77777777" w:rsidTr="000579C9">
        <w:trPr>
          <w:trHeight w:val="240"/>
        </w:trPr>
        <w:tc>
          <w:tcPr>
            <w:tcW w:w="2500" w:type="pct"/>
            <w:tcMar>
              <w:left w:w="100" w:type="dxa"/>
              <w:right w:w="100" w:type="dxa"/>
            </w:tcMar>
          </w:tcPr>
          <w:p w14:paraId="59D02BF8" w14:textId="77777777" w:rsidR="000579C9" w:rsidRDefault="000579C9" w:rsidP="000579C9">
            <w:pPr>
              <w:rPr>
                <w:color w:val="000000"/>
              </w:rPr>
            </w:pPr>
            <w:r w:rsidRPr="003B297C">
              <w:t>Наименование на националния език</w:t>
            </w:r>
          </w:p>
        </w:tc>
        <w:tc>
          <w:tcPr>
            <w:tcW w:w="2500" w:type="pct"/>
            <w:tcMar>
              <w:left w:w="100" w:type="dxa"/>
              <w:right w:w="100" w:type="dxa"/>
            </w:tcMar>
          </w:tcPr>
          <w:p w14:paraId="2233A88E" w14:textId="77777777" w:rsidR="000579C9" w:rsidRDefault="000579C9" w:rsidP="000579C9">
            <w:pPr>
              <w:rPr>
                <w:color w:val="000000"/>
              </w:rPr>
            </w:pPr>
            <w:r w:rsidRPr="003B297C">
              <w:t>Програма на Република България по фонд „Вътрешна сигурност“</w:t>
            </w:r>
          </w:p>
        </w:tc>
      </w:tr>
      <w:tr w:rsidR="000579C9" w14:paraId="0189957F" w14:textId="77777777" w:rsidTr="000579C9">
        <w:trPr>
          <w:trHeight w:val="240"/>
        </w:trPr>
        <w:tc>
          <w:tcPr>
            <w:tcW w:w="2500" w:type="pct"/>
            <w:tcMar>
              <w:left w:w="100" w:type="dxa"/>
              <w:right w:w="100" w:type="dxa"/>
            </w:tcMar>
          </w:tcPr>
          <w:p w14:paraId="599BF353" w14:textId="77777777" w:rsidR="000579C9" w:rsidRDefault="000579C9" w:rsidP="000579C9">
            <w:pPr>
              <w:rPr>
                <w:color w:val="000000"/>
              </w:rPr>
            </w:pPr>
            <w:r w:rsidRPr="003B297C">
              <w:t>Версия</w:t>
            </w:r>
          </w:p>
        </w:tc>
        <w:tc>
          <w:tcPr>
            <w:tcW w:w="2500" w:type="pct"/>
            <w:tcMar>
              <w:left w:w="100" w:type="dxa"/>
              <w:right w:w="100" w:type="dxa"/>
            </w:tcMar>
          </w:tcPr>
          <w:p w14:paraId="4ED2A17A" w14:textId="473B0113" w:rsidR="000579C9" w:rsidRDefault="0098574A" w:rsidP="000579C9">
            <w:pPr>
              <w:rPr>
                <w:color w:val="000000"/>
              </w:rPr>
            </w:pPr>
            <w:r>
              <w:rPr>
                <w:lang w:val="bg-BG"/>
              </w:rPr>
              <w:t>2</w:t>
            </w:r>
            <w:r w:rsidR="00AE33B9">
              <w:t xml:space="preserve">.0 </w:t>
            </w:r>
          </w:p>
        </w:tc>
      </w:tr>
      <w:tr w:rsidR="000579C9" w14:paraId="538C00BF" w14:textId="77777777" w:rsidTr="000579C9">
        <w:trPr>
          <w:trHeight w:val="240"/>
        </w:trPr>
        <w:tc>
          <w:tcPr>
            <w:tcW w:w="2500" w:type="pct"/>
            <w:tcMar>
              <w:left w:w="100" w:type="dxa"/>
              <w:right w:w="100" w:type="dxa"/>
            </w:tcMar>
          </w:tcPr>
          <w:p w14:paraId="1638EA41" w14:textId="77777777" w:rsidR="000579C9" w:rsidRDefault="000579C9" w:rsidP="000579C9">
            <w:pPr>
              <w:rPr>
                <w:color w:val="000000"/>
              </w:rPr>
            </w:pPr>
            <w:r w:rsidRPr="003B297C">
              <w:t xml:space="preserve">Първа година </w:t>
            </w:r>
          </w:p>
        </w:tc>
        <w:tc>
          <w:tcPr>
            <w:tcW w:w="2500" w:type="pct"/>
            <w:tcMar>
              <w:left w:w="100" w:type="dxa"/>
              <w:right w:w="100" w:type="dxa"/>
            </w:tcMar>
          </w:tcPr>
          <w:p w14:paraId="207F6D2C" w14:textId="77777777" w:rsidR="000579C9" w:rsidRDefault="000579C9" w:rsidP="000579C9">
            <w:pPr>
              <w:rPr>
                <w:color w:val="000000"/>
              </w:rPr>
            </w:pPr>
            <w:r w:rsidRPr="003B297C">
              <w:t>2021 г.</w:t>
            </w:r>
          </w:p>
        </w:tc>
      </w:tr>
      <w:tr w:rsidR="000579C9" w14:paraId="34ADB684" w14:textId="77777777" w:rsidTr="000579C9">
        <w:trPr>
          <w:trHeight w:val="240"/>
        </w:trPr>
        <w:tc>
          <w:tcPr>
            <w:tcW w:w="2500" w:type="pct"/>
            <w:tcMar>
              <w:left w:w="100" w:type="dxa"/>
              <w:right w:w="100" w:type="dxa"/>
            </w:tcMar>
          </w:tcPr>
          <w:p w14:paraId="3D0573B8" w14:textId="77777777" w:rsidR="000579C9" w:rsidRDefault="000579C9" w:rsidP="000579C9">
            <w:pPr>
              <w:rPr>
                <w:color w:val="000000"/>
              </w:rPr>
            </w:pPr>
            <w:r w:rsidRPr="003B297C">
              <w:t xml:space="preserve">Година на приключване </w:t>
            </w:r>
          </w:p>
        </w:tc>
        <w:tc>
          <w:tcPr>
            <w:tcW w:w="2500" w:type="pct"/>
            <w:tcMar>
              <w:left w:w="100" w:type="dxa"/>
              <w:right w:w="100" w:type="dxa"/>
            </w:tcMar>
          </w:tcPr>
          <w:p w14:paraId="15353137" w14:textId="77777777" w:rsidR="000579C9" w:rsidRDefault="000579C9" w:rsidP="000579C9">
            <w:pPr>
              <w:rPr>
                <w:color w:val="000000"/>
              </w:rPr>
            </w:pPr>
            <w:r w:rsidRPr="003B297C">
              <w:t>2027 г.</w:t>
            </w:r>
          </w:p>
        </w:tc>
      </w:tr>
      <w:tr w:rsidR="000579C9" w14:paraId="33332665" w14:textId="77777777" w:rsidTr="000579C9">
        <w:trPr>
          <w:trHeight w:val="240"/>
        </w:trPr>
        <w:tc>
          <w:tcPr>
            <w:tcW w:w="2500" w:type="pct"/>
            <w:tcMar>
              <w:left w:w="100" w:type="dxa"/>
              <w:right w:w="100" w:type="dxa"/>
            </w:tcMar>
          </w:tcPr>
          <w:p w14:paraId="073FADE3" w14:textId="77777777" w:rsidR="000579C9" w:rsidRDefault="000579C9" w:rsidP="000579C9">
            <w:pPr>
              <w:rPr>
                <w:color w:val="000000"/>
              </w:rPr>
            </w:pPr>
            <w:r w:rsidRPr="003B297C">
              <w:t>Допустими от</w:t>
            </w:r>
          </w:p>
        </w:tc>
        <w:tc>
          <w:tcPr>
            <w:tcW w:w="2500" w:type="pct"/>
            <w:tcMar>
              <w:left w:w="100" w:type="dxa"/>
              <w:right w:w="100" w:type="dxa"/>
            </w:tcMar>
          </w:tcPr>
          <w:p w14:paraId="30FE9F54" w14:textId="77777777" w:rsidR="000579C9" w:rsidRDefault="000579C9" w:rsidP="000579C9">
            <w:pPr>
              <w:rPr>
                <w:color w:val="000000"/>
              </w:rPr>
            </w:pPr>
            <w:r w:rsidRPr="003B297C">
              <w:t>1 януари 2021 г.</w:t>
            </w:r>
          </w:p>
        </w:tc>
      </w:tr>
      <w:tr w:rsidR="000579C9" w14:paraId="33BB214D" w14:textId="77777777" w:rsidTr="000579C9">
        <w:trPr>
          <w:trHeight w:val="240"/>
        </w:trPr>
        <w:tc>
          <w:tcPr>
            <w:tcW w:w="2500" w:type="pct"/>
            <w:tcMar>
              <w:left w:w="100" w:type="dxa"/>
              <w:right w:w="100" w:type="dxa"/>
            </w:tcMar>
          </w:tcPr>
          <w:p w14:paraId="4C54B21A" w14:textId="77777777" w:rsidR="000579C9" w:rsidRDefault="000579C9" w:rsidP="000579C9">
            <w:pPr>
              <w:rPr>
                <w:color w:val="000000"/>
              </w:rPr>
            </w:pPr>
            <w:r w:rsidRPr="003B297C">
              <w:t>Допустими до</w:t>
            </w:r>
          </w:p>
        </w:tc>
        <w:tc>
          <w:tcPr>
            <w:tcW w:w="2500" w:type="pct"/>
            <w:tcMar>
              <w:left w:w="100" w:type="dxa"/>
              <w:right w:w="100" w:type="dxa"/>
            </w:tcMar>
          </w:tcPr>
          <w:p w14:paraId="68417F3C" w14:textId="77777777" w:rsidR="000579C9" w:rsidRDefault="000579C9" w:rsidP="000579C9">
            <w:pPr>
              <w:rPr>
                <w:color w:val="000000"/>
              </w:rPr>
            </w:pPr>
            <w:r w:rsidRPr="003B297C">
              <w:t>31 декември 2029 г.</w:t>
            </w:r>
          </w:p>
        </w:tc>
      </w:tr>
      <w:tr w:rsidR="000579C9" w14:paraId="4ACE2169" w14:textId="77777777" w:rsidTr="000579C9">
        <w:trPr>
          <w:trHeight w:val="240"/>
        </w:trPr>
        <w:tc>
          <w:tcPr>
            <w:tcW w:w="2500" w:type="pct"/>
            <w:tcMar>
              <w:left w:w="100" w:type="dxa"/>
              <w:right w:w="100" w:type="dxa"/>
            </w:tcMar>
          </w:tcPr>
          <w:p w14:paraId="2CF94E28" w14:textId="77777777" w:rsidR="000579C9" w:rsidRDefault="000579C9" w:rsidP="000579C9">
            <w:pPr>
              <w:rPr>
                <w:color w:val="000000"/>
              </w:rPr>
            </w:pPr>
            <w:r w:rsidRPr="003B297C">
              <w:t xml:space="preserve">Номер на решението на Комисията </w:t>
            </w:r>
          </w:p>
        </w:tc>
        <w:tc>
          <w:tcPr>
            <w:tcW w:w="2500" w:type="pct"/>
            <w:tcMar>
              <w:left w:w="100" w:type="dxa"/>
              <w:right w:w="100" w:type="dxa"/>
            </w:tcMar>
          </w:tcPr>
          <w:p w14:paraId="73381D6F" w14:textId="77777777" w:rsidR="000579C9" w:rsidRDefault="000579C9" w:rsidP="000579C9">
            <w:pPr>
              <w:rPr>
                <w:color w:val="000000"/>
              </w:rPr>
            </w:pPr>
          </w:p>
        </w:tc>
      </w:tr>
      <w:tr w:rsidR="000579C9" w14:paraId="553C41DD" w14:textId="77777777" w:rsidTr="000579C9">
        <w:trPr>
          <w:trHeight w:val="240"/>
        </w:trPr>
        <w:tc>
          <w:tcPr>
            <w:tcW w:w="2500" w:type="pct"/>
            <w:tcMar>
              <w:left w:w="100" w:type="dxa"/>
              <w:right w:w="100" w:type="dxa"/>
            </w:tcMar>
          </w:tcPr>
          <w:p w14:paraId="60E49D2C" w14:textId="77777777" w:rsidR="000579C9" w:rsidRDefault="000579C9" w:rsidP="000579C9">
            <w:pPr>
              <w:rPr>
                <w:color w:val="000000"/>
              </w:rPr>
            </w:pPr>
            <w:r w:rsidRPr="003B297C">
              <w:t xml:space="preserve">Дата на решението на Комисията </w:t>
            </w:r>
          </w:p>
        </w:tc>
        <w:tc>
          <w:tcPr>
            <w:tcW w:w="2500" w:type="pct"/>
            <w:tcMar>
              <w:left w:w="100" w:type="dxa"/>
              <w:right w:w="100" w:type="dxa"/>
            </w:tcMar>
          </w:tcPr>
          <w:p w14:paraId="3D6E8DA2" w14:textId="77777777" w:rsidR="000579C9" w:rsidRDefault="000579C9" w:rsidP="000579C9">
            <w:pPr>
              <w:rPr>
                <w:color w:val="000000"/>
              </w:rPr>
            </w:pPr>
          </w:p>
        </w:tc>
      </w:tr>
      <w:tr w:rsidR="000579C9" w14:paraId="4684A394" w14:textId="77777777" w:rsidTr="000579C9">
        <w:trPr>
          <w:trHeight w:val="240"/>
        </w:trPr>
        <w:tc>
          <w:tcPr>
            <w:tcW w:w="2500" w:type="pct"/>
            <w:tcMar>
              <w:left w:w="100" w:type="dxa"/>
              <w:right w:w="100" w:type="dxa"/>
            </w:tcMar>
          </w:tcPr>
          <w:p w14:paraId="03B7961A" w14:textId="77777777" w:rsidR="000579C9" w:rsidRDefault="000579C9" w:rsidP="000579C9">
            <w:pPr>
              <w:rPr>
                <w:color w:val="000000"/>
              </w:rPr>
            </w:pPr>
            <w:r w:rsidRPr="003B297C">
              <w:t>Номер на решението за изменение на държавата членка</w:t>
            </w:r>
          </w:p>
        </w:tc>
        <w:tc>
          <w:tcPr>
            <w:tcW w:w="2500" w:type="pct"/>
            <w:tcMar>
              <w:left w:w="100" w:type="dxa"/>
              <w:right w:w="100" w:type="dxa"/>
            </w:tcMar>
          </w:tcPr>
          <w:p w14:paraId="35061C9E" w14:textId="77777777" w:rsidR="000579C9" w:rsidRDefault="000579C9" w:rsidP="000579C9">
            <w:pPr>
              <w:rPr>
                <w:color w:val="000000"/>
              </w:rPr>
            </w:pPr>
          </w:p>
        </w:tc>
      </w:tr>
      <w:tr w:rsidR="000579C9" w14:paraId="48C5E96A" w14:textId="77777777" w:rsidTr="000579C9">
        <w:trPr>
          <w:trHeight w:val="240"/>
        </w:trPr>
        <w:tc>
          <w:tcPr>
            <w:tcW w:w="2500" w:type="pct"/>
            <w:tcMar>
              <w:left w:w="100" w:type="dxa"/>
              <w:right w:w="100" w:type="dxa"/>
            </w:tcMar>
          </w:tcPr>
          <w:p w14:paraId="698437DC" w14:textId="77777777" w:rsidR="000579C9" w:rsidRDefault="000579C9" w:rsidP="000579C9">
            <w:pPr>
              <w:rPr>
                <w:color w:val="000000"/>
              </w:rPr>
            </w:pPr>
            <w:r w:rsidRPr="003B297C">
              <w:t>Дата на влизане в сила на решението за изменение на държавата членка</w:t>
            </w:r>
          </w:p>
        </w:tc>
        <w:tc>
          <w:tcPr>
            <w:tcW w:w="2500" w:type="pct"/>
            <w:tcMar>
              <w:left w:w="100" w:type="dxa"/>
              <w:right w:w="100" w:type="dxa"/>
            </w:tcMar>
          </w:tcPr>
          <w:p w14:paraId="105FDD9F" w14:textId="77777777" w:rsidR="000579C9" w:rsidRDefault="000579C9" w:rsidP="000579C9">
            <w:pPr>
              <w:rPr>
                <w:color w:val="000000"/>
              </w:rPr>
            </w:pPr>
          </w:p>
        </w:tc>
      </w:tr>
      <w:tr w:rsidR="000579C9" w14:paraId="1F2A3900" w14:textId="77777777" w:rsidTr="000579C9">
        <w:trPr>
          <w:trHeight w:val="240"/>
        </w:trPr>
        <w:tc>
          <w:tcPr>
            <w:tcW w:w="2500" w:type="pct"/>
            <w:tcMar>
              <w:left w:w="100" w:type="dxa"/>
              <w:right w:w="100" w:type="dxa"/>
            </w:tcMar>
          </w:tcPr>
          <w:p w14:paraId="6B985A60" w14:textId="77777777" w:rsidR="000579C9" w:rsidRDefault="000579C9" w:rsidP="000579C9">
            <w:pPr>
              <w:rPr>
                <w:color w:val="000000"/>
              </w:rPr>
            </w:pPr>
            <w:r w:rsidRPr="003B297C">
              <w:t>Несъществено прехвърляне (член 24, параграф 5 от РОР)</w:t>
            </w:r>
          </w:p>
        </w:tc>
        <w:tc>
          <w:tcPr>
            <w:tcW w:w="2500" w:type="pct"/>
            <w:tcMar>
              <w:left w:w="100" w:type="dxa"/>
              <w:right w:w="100" w:type="dxa"/>
            </w:tcMar>
          </w:tcPr>
          <w:p w14:paraId="4ED01108" w14:textId="77777777" w:rsidR="000579C9" w:rsidRDefault="000579C9" w:rsidP="000579C9">
            <w:pPr>
              <w:rPr>
                <w:color w:val="000000"/>
              </w:rPr>
            </w:pPr>
            <w:r w:rsidRPr="003B297C">
              <w:t>Не</w:t>
            </w:r>
          </w:p>
        </w:tc>
      </w:tr>
      <w:tr w:rsidR="00AE33B9" w14:paraId="43B3C614" w14:textId="77777777" w:rsidTr="000579C9">
        <w:trPr>
          <w:trHeight w:val="240"/>
        </w:trPr>
        <w:tc>
          <w:tcPr>
            <w:tcW w:w="2500" w:type="pct"/>
            <w:tcMar>
              <w:left w:w="100" w:type="dxa"/>
              <w:right w:w="100" w:type="dxa"/>
            </w:tcMar>
          </w:tcPr>
          <w:p w14:paraId="134C3985" w14:textId="0DDCD38B" w:rsidR="00AE33B9" w:rsidRPr="00894EB3" w:rsidRDefault="00AE33B9" w:rsidP="000579C9">
            <w:pPr>
              <w:rPr>
                <w:lang w:val="bg-BG"/>
              </w:rPr>
            </w:pPr>
            <w:r>
              <w:rPr>
                <w:lang w:val="bg-BG"/>
              </w:rPr>
              <w:t>Одобрена от Комитета за наблюдение</w:t>
            </w:r>
          </w:p>
        </w:tc>
        <w:tc>
          <w:tcPr>
            <w:tcW w:w="2500" w:type="pct"/>
            <w:tcMar>
              <w:left w:w="100" w:type="dxa"/>
              <w:right w:w="100" w:type="dxa"/>
            </w:tcMar>
          </w:tcPr>
          <w:p w14:paraId="6E476327" w14:textId="56A6F0BC" w:rsidR="00AE33B9" w:rsidRPr="003B297C" w:rsidRDefault="00AE33B9" w:rsidP="000579C9">
            <w:r>
              <w:rPr>
                <w:lang w:val="bg-BG"/>
              </w:rPr>
              <w:t>Да</w:t>
            </w:r>
          </w:p>
        </w:tc>
      </w:tr>
    </w:tbl>
    <w:p w14:paraId="31D9675A" w14:textId="77777777" w:rsidR="00A77B3E" w:rsidRPr="00FB5D9F" w:rsidRDefault="00E62050">
      <w:pPr>
        <w:jc w:val="center"/>
        <w:rPr>
          <w:b/>
          <w:color w:val="000000"/>
          <w:lang w:val="bg-BG"/>
        </w:rPr>
      </w:pPr>
      <w:r>
        <w:rPr>
          <w:color w:val="000000"/>
        </w:rPr>
        <w:br w:type="page"/>
      </w:r>
      <w:r w:rsidR="00FB5D9F">
        <w:rPr>
          <w:b/>
          <w:color w:val="000000"/>
          <w:lang w:val="bg-BG"/>
        </w:rPr>
        <w:lastRenderedPageBreak/>
        <w:t>Съдържание</w:t>
      </w:r>
    </w:p>
    <w:p w14:paraId="7C5EC3EE" w14:textId="77777777" w:rsidR="00A77B3E" w:rsidRDefault="00A77B3E">
      <w:pPr>
        <w:jc w:val="center"/>
        <w:rPr>
          <w:color w:val="000000"/>
        </w:rPr>
      </w:pPr>
    </w:p>
    <w:p w14:paraId="5A8F724D" w14:textId="3DA51EA7" w:rsidR="007F09B1" w:rsidRDefault="00E62050">
      <w:pPr>
        <w:pStyle w:val="TOC1"/>
        <w:tabs>
          <w:tab w:val="right" w:leader="dot" w:pos="10240"/>
        </w:tabs>
        <w:rPr>
          <w:rFonts w:asciiTheme="minorHAnsi" w:eastAsiaTheme="minorEastAsia" w:hAnsiTheme="minorHAnsi" w:cstheme="minorBidi"/>
          <w:sz w:val="22"/>
          <w:szCs w:val="22"/>
          <w:lang w:val="bg-BG" w:eastAsia="bg-BG"/>
        </w:rPr>
      </w:pPr>
      <w:r>
        <w:rPr>
          <w:color w:val="000000"/>
        </w:rPr>
        <w:fldChar w:fldCharType="begin"/>
      </w:r>
      <w:r w:rsidR="00A77B3E">
        <w:rPr>
          <w:color w:val="000000"/>
        </w:rPr>
        <w:instrText>TOC \o "1-9" \z \u \h</w:instrText>
      </w:r>
      <w:r>
        <w:rPr>
          <w:color w:val="000000"/>
        </w:rPr>
        <w:fldChar w:fldCharType="separate"/>
      </w:r>
      <w:hyperlink w:anchor="_Toc129599274" w:history="1">
        <w:r w:rsidR="007F09B1" w:rsidRPr="000746F7">
          <w:rPr>
            <w:rStyle w:val="Hyperlink"/>
            <w:lang w:val="bg-BG"/>
          </w:rPr>
          <w:t>1. Програмна стратегия: основни предизвикателства и отговори на политиката</w:t>
        </w:r>
        <w:r w:rsidR="007F09B1">
          <w:rPr>
            <w:webHidden/>
          </w:rPr>
          <w:tab/>
        </w:r>
        <w:r w:rsidR="007F09B1">
          <w:rPr>
            <w:webHidden/>
          </w:rPr>
          <w:fldChar w:fldCharType="begin"/>
        </w:r>
        <w:r w:rsidR="007F09B1">
          <w:rPr>
            <w:webHidden/>
          </w:rPr>
          <w:instrText xml:space="preserve"> PAGEREF _Toc129599274 \h </w:instrText>
        </w:r>
        <w:r w:rsidR="007F09B1">
          <w:rPr>
            <w:webHidden/>
          </w:rPr>
        </w:r>
        <w:r w:rsidR="007F09B1">
          <w:rPr>
            <w:webHidden/>
          </w:rPr>
          <w:fldChar w:fldCharType="separate"/>
        </w:r>
        <w:r w:rsidR="00894EB3">
          <w:rPr>
            <w:webHidden/>
          </w:rPr>
          <w:t>4</w:t>
        </w:r>
        <w:r w:rsidR="007F09B1">
          <w:rPr>
            <w:webHidden/>
          </w:rPr>
          <w:fldChar w:fldCharType="end"/>
        </w:r>
      </w:hyperlink>
    </w:p>
    <w:p w14:paraId="4C20E317" w14:textId="0295C3F7" w:rsidR="007F09B1" w:rsidRDefault="00DA6815">
      <w:pPr>
        <w:pStyle w:val="TOC1"/>
        <w:tabs>
          <w:tab w:val="right" w:leader="dot" w:pos="10240"/>
        </w:tabs>
        <w:rPr>
          <w:rFonts w:asciiTheme="minorHAnsi" w:eastAsiaTheme="minorEastAsia" w:hAnsiTheme="minorHAnsi" w:cstheme="minorBidi"/>
          <w:sz w:val="22"/>
          <w:szCs w:val="22"/>
          <w:lang w:val="bg-BG" w:eastAsia="bg-BG"/>
        </w:rPr>
      </w:pPr>
      <w:hyperlink w:anchor="_Toc129599275" w:history="1">
        <w:r w:rsidR="007F09B1" w:rsidRPr="000746F7">
          <w:rPr>
            <w:rStyle w:val="Hyperlink"/>
            <w:lang w:val="bg-BG"/>
          </w:rPr>
          <w:t>2. Специфични цели и техническа помощ</w:t>
        </w:r>
        <w:r w:rsidR="007F09B1">
          <w:rPr>
            <w:webHidden/>
          </w:rPr>
          <w:tab/>
        </w:r>
        <w:r w:rsidR="007F09B1">
          <w:rPr>
            <w:webHidden/>
          </w:rPr>
          <w:fldChar w:fldCharType="begin"/>
        </w:r>
        <w:r w:rsidR="007F09B1">
          <w:rPr>
            <w:webHidden/>
          </w:rPr>
          <w:instrText xml:space="preserve"> PAGEREF _Toc129599275 \h </w:instrText>
        </w:r>
        <w:r w:rsidR="007F09B1">
          <w:rPr>
            <w:webHidden/>
          </w:rPr>
        </w:r>
        <w:r w:rsidR="007F09B1">
          <w:rPr>
            <w:webHidden/>
          </w:rPr>
          <w:fldChar w:fldCharType="separate"/>
        </w:r>
        <w:r w:rsidR="00894EB3">
          <w:rPr>
            <w:webHidden/>
          </w:rPr>
          <w:t>9</w:t>
        </w:r>
        <w:r w:rsidR="007F09B1">
          <w:rPr>
            <w:webHidden/>
          </w:rPr>
          <w:fldChar w:fldCharType="end"/>
        </w:r>
      </w:hyperlink>
    </w:p>
    <w:p w14:paraId="24B4D182" w14:textId="468B7F4C"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276" w:history="1">
        <w:r w:rsidR="007F09B1" w:rsidRPr="000746F7">
          <w:rPr>
            <w:rStyle w:val="Hyperlink"/>
          </w:rPr>
          <w:t>2.1. Специфична цел: 1. Обмен на информация</w:t>
        </w:r>
        <w:r w:rsidR="007F09B1">
          <w:rPr>
            <w:webHidden/>
          </w:rPr>
          <w:tab/>
        </w:r>
        <w:r w:rsidR="007F09B1">
          <w:rPr>
            <w:webHidden/>
          </w:rPr>
          <w:fldChar w:fldCharType="begin"/>
        </w:r>
        <w:r w:rsidR="007F09B1">
          <w:rPr>
            <w:webHidden/>
          </w:rPr>
          <w:instrText xml:space="preserve"> PAGEREF _Toc129599276 \h </w:instrText>
        </w:r>
        <w:r w:rsidR="007F09B1">
          <w:rPr>
            <w:webHidden/>
          </w:rPr>
        </w:r>
        <w:r w:rsidR="007F09B1">
          <w:rPr>
            <w:webHidden/>
          </w:rPr>
          <w:fldChar w:fldCharType="separate"/>
        </w:r>
        <w:r w:rsidR="00894EB3">
          <w:rPr>
            <w:webHidden/>
          </w:rPr>
          <w:t>10</w:t>
        </w:r>
        <w:r w:rsidR="007F09B1">
          <w:rPr>
            <w:webHidden/>
          </w:rPr>
          <w:fldChar w:fldCharType="end"/>
        </w:r>
      </w:hyperlink>
    </w:p>
    <w:p w14:paraId="47D62E22" w14:textId="709F52A9" w:rsidR="007F09B1" w:rsidRDefault="00DA6815">
      <w:pPr>
        <w:pStyle w:val="TOC3"/>
        <w:tabs>
          <w:tab w:val="right" w:leader="dot" w:pos="10240"/>
        </w:tabs>
        <w:rPr>
          <w:rFonts w:asciiTheme="minorHAnsi" w:eastAsiaTheme="minorEastAsia" w:hAnsiTheme="minorHAnsi" w:cstheme="minorBidi"/>
          <w:sz w:val="22"/>
          <w:szCs w:val="22"/>
          <w:lang w:val="bg-BG" w:eastAsia="bg-BG"/>
        </w:rPr>
      </w:pPr>
      <w:hyperlink w:anchor="_Toc129599277" w:history="1">
        <w:r w:rsidR="007F09B1" w:rsidRPr="000746F7">
          <w:rPr>
            <w:rStyle w:val="Hyperlink"/>
          </w:rPr>
          <w:t>2.1.1. Описание на специфичната цел</w:t>
        </w:r>
        <w:r w:rsidR="007F09B1">
          <w:rPr>
            <w:webHidden/>
          </w:rPr>
          <w:tab/>
        </w:r>
        <w:r w:rsidR="007F09B1">
          <w:rPr>
            <w:webHidden/>
          </w:rPr>
          <w:fldChar w:fldCharType="begin"/>
        </w:r>
        <w:r w:rsidR="007F09B1">
          <w:rPr>
            <w:webHidden/>
          </w:rPr>
          <w:instrText xml:space="preserve"> PAGEREF _Toc129599277 \h </w:instrText>
        </w:r>
        <w:r w:rsidR="007F09B1">
          <w:rPr>
            <w:webHidden/>
          </w:rPr>
        </w:r>
        <w:r w:rsidR="007F09B1">
          <w:rPr>
            <w:webHidden/>
          </w:rPr>
          <w:fldChar w:fldCharType="separate"/>
        </w:r>
        <w:r w:rsidR="00894EB3">
          <w:rPr>
            <w:webHidden/>
          </w:rPr>
          <w:t>10</w:t>
        </w:r>
        <w:r w:rsidR="007F09B1">
          <w:rPr>
            <w:webHidden/>
          </w:rPr>
          <w:fldChar w:fldCharType="end"/>
        </w:r>
      </w:hyperlink>
    </w:p>
    <w:p w14:paraId="7EB4BA3F" w14:textId="2B331C40" w:rsidR="007F09B1" w:rsidRDefault="00DA6815">
      <w:pPr>
        <w:pStyle w:val="TOC3"/>
        <w:tabs>
          <w:tab w:val="right" w:leader="dot" w:pos="10240"/>
        </w:tabs>
        <w:rPr>
          <w:rFonts w:asciiTheme="minorHAnsi" w:eastAsiaTheme="minorEastAsia" w:hAnsiTheme="minorHAnsi" w:cstheme="minorBidi"/>
          <w:sz w:val="22"/>
          <w:szCs w:val="22"/>
          <w:lang w:val="bg-BG" w:eastAsia="bg-BG"/>
        </w:rPr>
      </w:pPr>
      <w:hyperlink w:anchor="_Toc129599278" w:history="1">
        <w:r w:rsidR="007F09B1" w:rsidRPr="000746F7">
          <w:rPr>
            <w:rStyle w:val="Hyperlink"/>
          </w:rPr>
          <w:t xml:space="preserve">2.1.2. </w:t>
        </w:r>
        <w:r w:rsidR="007F09B1" w:rsidRPr="000746F7">
          <w:rPr>
            <w:rStyle w:val="Hyperlink"/>
            <w:lang w:val="bg-BG"/>
          </w:rPr>
          <w:t>Показатели</w:t>
        </w:r>
        <w:r w:rsidR="007F09B1">
          <w:rPr>
            <w:webHidden/>
          </w:rPr>
          <w:tab/>
        </w:r>
        <w:r w:rsidR="007F09B1">
          <w:rPr>
            <w:webHidden/>
          </w:rPr>
          <w:fldChar w:fldCharType="begin"/>
        </w:r>
        <w:r w:rsidR="007F09B1">
          <w:rPr>
            <w:webHidden/>
          </w:rPr>
          <w:instrText xml:space="preserve"> PAGEREF _Toc129599278 \h </w:instrText>
        </w:r>
        <w:r w:rsidR="007F09B1">
          <w:rPr>
            <w:webHidden/>
          </w:rPr>
        </w:r>
        <w:r w:rsidR="007F09B1">
          <w:rPr>
            <w:webHidden/>
          </w:rPr>
          <w:fldChar w:fldCharType="separate"/>
        </w:r>
        <w:r w:rsidR="00894EB3">
          <w:rPr>
            <w:webHidden/>
          </w:rPr>
          <w:t>16</w:t>
        </w:r>
        <w:r w:rsidR="007F09B1">
          <w:rPr>
            <w:webHidden/>
          </w:rPr>
          <w:fldChar w:fldCharType="end"/>
        </w:r>
      </w:hyperlink>
    </w:p>
    <w:p w14:paraId="7659F24D" w14:textId="62CF8AA8"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279" w:history="1">
        <w:r w:rsidR="007F09B1" w:rsidRPr="000746F7">
          <w:rPr>
            <w:rStyle w:val="Hyperlink"/>
          </w:rPr>
          <w:t>Таблица 1: Показатели за крайния продукт</w:t>
        </w:r>
        <w:r w:rsidR="007F09B1">
          <w:rPr>
            <w:webHidden/>
          </w:rPr>
          <w:tab/>
        </w:r>
        <w:r w:rsidR="007F09B1">
          <w:rPr>
            <w:webHidden/>
          </w:rPr>
          <w:fldChar w:fldCharType="begin"/>
        </w:r>
        <w:r w:rsidR="007F09B1">
          <w:rPr>
            <w:webHidden/>
          </w:rPr>
          <w:instrText xml:space="preserve"> PAGEREF _Toc129599279 \h </w:instrText>
        </w:r>
        <w:r w:rsidR="007F09B1">
          <w:rPr>
            <w:webHidden/>
          </w:rPr>
        </w:r>
        <w:r w:rsidR="007F09B1">
          <w:rPr>
            <w:webHidden/>
          </w:rPr>
          <w:fldChar w:fldCharType="separate"/>
        </w:r>
        <w:r w:rsidR="00894EB3">
          <w:rPr>
            <w:webHidden/>
          </w:rPr>
          <w:t>16</w:t>
        </w:r>
        <w:r w:rsidR="007F09B1">
          <w:rPr>
            <w:webHidden/>
          </w:rPr>
          <w:fldChar w:fldCharType="end"/>
        </w:r>
      </w:hyperlink>
    </w:p>
    <w:p w14:paraId="73B17812" w14:textId="4F072CD7"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280" w:history="1">
        <w:r w:rsidR="007F09B1" w:rsidRPr="000746F7">
          <w:rPr>
            <w:rStyle w:val="Hyperlink"/>
          </w:rPr>
          <w:t>Таблица 2: Показатели за резултата</w:t>
        </w:r>
        <w:r w:rsidR="007F09B1">
          <w:rPr>
            <w:webHidden/>
          </w:rPr>
          <w:tab/>
        </w:r>
        <w:r w:rsidR="007F09B1">
          <w:rPr>
            <w:webHidden/>
          </w:rPr>
          <w:fldChar w:fldCharType="begin"/>
        </w:r>
        <w:r w:rsidR="007F09B1">
          <w:rPr>
            <w:webHidden/>
          </w:rPr>
          <w:instrText xml:space="preserve"> PAGEREF _Toc129599280 \h </w:instrText>
        </w:r>
        <w:r w:rsidR="007F09B1">
          <w:rPr>
            <w:webHidden/>
          </w:rPr>
        </w:r>
        <w:r w:rsidR="007F09B1">
          <w:rPr>
            <w:webHidden/>
          </w:rPr>
          <w:fldChar w:fldCharType="separate"/>
        </w:r>
        <w:r w:rsidR="00894EB3">
          <w:rPr>
            <w:webHidden/>
          </w:rPr>
          <w:t>17</w:t>
        </w:r>
        <w:r w:rsidR="007F09B1">
          <w:rPr>
            <w:webHidden/>
          </w:rPr>
          <w:fldChar w:fldCharType="end"/>
        </w:r>
      </w:hyperlink>
    </w:p>
    <w:p w14:paraId="7A582D5E" w14:textId="61501DD4" w:rsidR="007F09B1" w:rsidRDefault="00DA6815">
      <w:pPr>
        <w:pStyle w:val="TOC3"/>
        <w:tabs>
          <w:tab w:val="right" w:leader="dot" w:pos="10240"/>
        </w:tabs>
        <w:rPr>
          <w:rFonts w:asciiTheme="minorHAnsi" w:eastAsiaTheme="minorEastAsia" w:hAnsiTheme="minorHAnsi" w:cstheme="minorBidi"/>
          <w:sz w:val="22"/>
          <w:szCs w:val="22"/>
          <w:lang w:val="bg-BG" w:eastAsia="bg-BG"/>
        </w:rPr>
      </w:pPr>
      <w:hyperlink w:anchor="_Toc129599281" w:history="1">
        <w:r w:rsidR="007F09B1" w:rsidRPr="000746F7">
          <w:rPr>
            <w:rStyle w:val="Hyperlink"/>
          </w:rPr>
          <w:t>2.1.3. Индикативна разбивка на ресурсите по програмата (ЕС) по вид интервенция</w:t>
        </w:r>
        <w:r w:rsidR="007F09B1">
          <w:rPr>
            <w:webHidden/>
          </w:rPr>
          <w:tab/>
        </w:r>
        <w:r w:rsidR="007F09B1">
          <w:rPr>
            <w:webHidden/>
          </w:rPr>
          <w:fldChar w:fldCharType="begin"/>
        </w:r>
        <w:r w:rsidR="007F09B1">
          <w:rPr>
            <w:webHidden/>
          </w:rPr>
          <w:instrText xml:space="preserve"> PAGEREF _Toc129599281 \h </w:instrText>
        </w:r>
        <w:r w:rsidR="007F09B1">
          <w:rPr>
            <w:webHidden/>
          </w:rPr>
        </w:r>
        <w:r w:rsidR="007F09B1">
          <w:rPr>
            <w:webHidden/>
          </w:rPr>
          <w:fldChar w:fldCharType="separate"/>
        </w:r>
        <w:r w:rsidR="00894EB3">
          <w:rPr>
            <w:webHidden/>
          </w:rPr>
          <w:t>19</w:t>
        </w:r>
        <w:r w:rsidR="007F09B1">
          <w:rPr>
            <w:webHidden/>
          </w:rPr>
          <w:fldChar w:fldCharType="end"/>
        </w:r>
      </w:hyperlink>
    </w:p>
    <w:p w14:paraId="23D15F78" w14:textId="5995332B"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282" w:history="1">
        <w:r w:rsidR="007F09B1" w:rsidRPr="000746F7">
          <w:rPr>
            <w:rStyle w:val="Hyperlink"/>
            <w:lang w:val="bg-BG"/>
          </w:rPr>
          <w:t>Таблица 3: Индикативна разбивка</w:t>
        </w:r>
        <w:r w:rsidR="007F09B1">
          <w:rPr>
            <w:webHidden/>
          </w:rPr>
          <w:tab/>
        </w:r>
        <w:r w:rsidR="007F09B1">
          <w:rPr>
            <w:webHidden/>
          </w:rPr>
          <w:fldChar w:fldCharType="begin"/>
        </w:r>
        <w:r w:rsidR="007F09B1">
          <w:rPr>
            <w:webHidden/>
          </w:rPr>
          <w:instrText xml:space="preserve"> PAGEREF _Toc129599282 \h </w:instrText>
        </w:r>
        <w:r w:rsidR="007F09B1">
          <w:rPr>
            <w:webHidden/>
          </w:rPr>
        </w:r>
        <w:r w:rsidR="007F09B1">
          <w:rPr>
            <w:webHidden/>
          </w:rPr>
          <w:fldChar w:fldCharType="separate"/>
        </w:r>
        <w:r w:rsidR="00894EB3">
          <w:rPr>
            <w:webHidden/>
          </w:rPr>
          <w:t>19</w:t>
        </w:r>
        <w:r w:rsidR="007F09B1">
          <w:rPr>
            <w:webHidden/>
          </w:rPr>
          <w:fldChar w:fldCharType="end"/>
        </w:r>
      </w:hyperlink>
    </w:p>
    <w:p w14:paraId="32483CDC" w14:textId="4BD8DAB4"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283" w:history="1">
        <w:r w:rsidR="007F09B1" w:rsidRPr="000746F7">
          <w:rPr>
            <w:rStyle w:val="Hyperlink"/>
          </w:rPr>
          <w:t>2.1. Специфична цел 2: Трансгранично сътрудничество</w:t>
        </w:r>
        <w:r w:rsidR="007F09B1">
          <w:rPr>
            <w:webHidden/>
          </w:rPr>
          <w:tab/>
        </w:r>
        <w:r w:rsidR="007F09B1">
          <w:rPr>
            <w:webHidden/>
          </w:rPr>
          <w:fldChar w:fldCharType="begin"/>
        </w:r>
        <w:r w:rsidR="007F09B1">
          <w:rPr>
            <w:webHidden/>
          </w:rPr>
          <w:instrText xml:space="preserve"> PAGEREF _Toc129599283 \h </w:instrText>
        </w:r>
        <w:r w:rsidR="007F09B1">
          <w:rPr>
            <w:webHidden/>
          </w:rPr>
        </w:r>
        <w:r w:rsidR="007F09B1">
          <w:rPr>
            <w:webHidden/>
          </w:rPr>
          <w:fldChar w:fldCharType="separate"/>
        </w:r>
        <w:r w:rsidR="00894EB3">
          <w:rPr>
            <w:webHidden/>
          </w:rPr>
          <w:t>20</w:t>
        </w:r>
        <w:r w:rsidR="007F09B1">
          <w:rPr>
            <w:webHidden/>
          </w:rPr>
          <w:fldChar w:fldCharType="end"/>
        </w:r>
      </w:hyperlink>
    </w:p>
    <w:p w14:paraId="18539B97" w14:textId="594AFC50" w:rsidR="007F09B1" w:rsidRDefault="00DA6815">
      <w:pPr>
        <w:pStyle w:val="TOC3"/>
        <w:tabs>
          <w:tab w:val="right" w:leader="dot" w:pos="10240"/>
        </w:tabs>
        <w:rPr>
          <w:rFonts w:asciiTheme="minorHAnsi" w:eastAsiaTheme="minorEastAsia" w:hAnsiTheme="minorHAnsi" w:cstheme="minorBidi"/>
          <w:sz w:val="22"/>
          <w:szCs w:val="22"/>
          <w:lang w:val="bg-BG" w:eastAsia="bg-BG"/>
        </w:rPr>
      </w:pPr>
      <w:hyperlink w:anchor="_Toc129599284" w:history="1">
        <w:r w:rsidR="007F09B1" w:rsidRPr="000746F7">
          <w:rPr>
            <w:rStyle w:val="Hyperlink"/>
          </w:rPr>
          <w:t>2.1.1. Описание на специфичната цел</w:t>
        </w:r>
        <w:r w:rsidR="007F09B1">
          <w:rPr>
            <w:webHidden/>
          </w:rPr>
          <w:tab/>
        </w:r>
        <w:r w:rsidR="007F09B1">
          <w:rPr>
            <w:webHidden/>
          </w:rPr>
          <w:fldChar w:fldCharType="begin"/>
        </w:r>
        <w:r w:rsidR="007F09B1">
          <w:rPr>
            <w:webHidden/>
          </w:rPr>
          <w:instrText xml:space="preserve"> PAGEREF _Toc129599284 \h </w:instrText>
        </w:r>
        <w:r w:rsidR="007F09B1">
          <w:rPr>
            <w:webHidden/>
          </w:rPr>
        </w:r>
        <w:r w:rsidR="007F09B1">
          <w:rPr>
            <w:webHidden/>
          </w:rPr>
          <w:fldChar w:fldCharType="separate"/>
        </w:r>
        <w:r w:rsidR="00894EB3">
          <w:rPr>
            <w:webHidden/>
          </w:rPr>
          <w:t>20</w:t>
        </w:r>
        <w:r w:rsidR="007F09B1">
          <w:rPr>
            <w:webHidden/>
          </w:rPr>
          <w:fldChar w:fldCharType="end"/>
        </w:r>
      </w:hyperlink>
    </w:p>
    <w:p w14:paraId="5A84B743" w14:textId="2CBE697F" w:rsidR="007F09B1" w:rsidRDefault="00DA6815">
      <w:pPr>
        <w:pStyle w:val="TOC3"/>
        <w:tabs>
          <w:tab w:val="right" w:leader="dot" w:pos="10240"/>
        </w:tabs>
        <w:rPr>
          <w:rFonts w:asciiTheme="minorHAnsi" w:eastAsiaTheme="minorEastAsia" w:hAnsiTheme="minorHAnsi" w:cstheme="minorBidi"/>
          <w:sz w:val="22"/>
          <w:szCs w:val="22"/>
          <w:lang w:val="bg-BG" w:eastAsia="bg-BG"/>
        </w:rPr>
      </w:pPr>
      <w:hyperlink w:anchor="_Toc129599285" w:history="1">
        <w:r w:rsidR="007F09B1" w:rsidRPr="000746F7">
          <w:rPr>
            <w:rStyle w:val="Hyperlink"/>
            <w:lang w:val="bg-BG"/>
          </w:rPr>
          <w:t>2.1.2. Показатели</w:t>
        </w:r>
        <w:r w:rsidR="007F09B1">
          <w:rPr>
            <w:webHidden/>
          </w:rPr>
          <w:tab/>
        </w:r>
        <w:r w:rsidR="007F09B1">
          <w:rPr>
            <w:webHidden/>
          </w:rPr>
          <w:fldChar w:fldCharType="begin"/>
        </w:r>
        <w:r w:rsidR="007F09B1">
          <w:rPr>
            <w:webHidden/>
          </w:rPr>
          <w:instrText xml:space="preserve"> PAGEREF _Toc129599285 \h </w:instrText>
        </w:r>
        <w:r w:rsidR="007F09B1">
          <w:rPr>
            <w:webHidden/>
          </w:rPr>
        </w:r>
        <w:r w:rsidR="007F09B1">
          <w:rPr>
            <w:webHidden/>
          </w:rPr>
          <w:fldChar w:fldCharType="separate"/>
        </w:r>
        <w:r w:rsidR="00894EB3">
          <w:rPr>
            <w:webHidden/>
          </w:rPr>
          <w:t>26</w:t>
        </w:r>
        <w:r w:rsidR="007F09B1">
          <w:rPr>
            <w:webHidden/>
          </w:rPr>
          <w:fldChar w:fldCharType="end"/>
        </w:r>
      </w:hyperlink>
    </w:p>
    <w:p w14:paraId="30776327" w14:textId="1FE1FE36"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286" w:history="1">
        <w:r w:rsidR="007F09B1" w:rsidRPr="000746F7">
          <w:rPr>
            <w:rStyle w:val="Hyperlink"/>
            <w:lang w:val="bg-BG"/>
          </w:rPr>
          <w:t>Таблица 1: Показатели за крайния продукт</w:t>
        </w:r>
        <w:r w:rsidR="007F09B1">
          <w:rPr>
            <w:webHidden/>
          </w:rPr>
          <w:tab/>
        </w:r>
        <w:r w:rsidR="007F09B1">
          <w:rPr>
            <w:webHidden/>
          </w:rPr>
          <w:fldChar w:fldCharType="begin"/>
        </w:r>
        <w:r w:rsidR="007F09B1">
          <w:rPr>
            <w:webHidden/>
          </w:rPr>
          <w:instrText xml:space="preserve"> PAGEREF _Toc129599286 \h </w:instrText>
        </w:r>
        <w:r w:rsidR="007F09B1">
          <w:rPr>
            <w:webHidden/>
          </w:rPr>
        </w:r>
        <w:r w:rsidR="007F09B1">
          <w:rPr>
            <w:webHidden/>
          </w:rPr>
          <w:fldChar w:fldCharType="separate"/>
        </w:r>
        <w:r w:rsidR="00894EB3">
          <w:rPr>
            <w:webHidden/>
          </w:rPr>
          <w:t>26</w:t>
        </w:r>
        <w:r w:rsidR="007F09B1">
          <w:rPr>
            <w:webHidden/>
          </w:rPr>
          <w:fldChar w:fldCharType="end"/>
        </w:r>
      </w:hyperlink>
    </w:p>
    <w:p w14:paraId="6F239287" w14:textId="3BE225A0"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287" w:history="1">
        <w:r w:rsidR="007F09B1" w:rsidRPr="000746F7">
          <w:rPr>
            <w:rStyle w:val="Hyperlink"/>
          </w:rPr>
          <w:t>Таблица 2: Показатели за резултата</w:t>
        </w:r>
        <w:r w:rsidR="007F09B1">
          <w:rPr>
            <w:webHidden/>
          </w:rPr>
          <w:tab/>
        </w:r>
        <w:r w:rsidR="007F09B1">
          <w:rPr>
            <w:webHidden/>
          </w:rPr>
          <w:fldChar w:fldCharType="begin"/>
        </w:r>
        <w:r w:rsidR="007F09B1">
          <w:rPr>
            <w:webHidden/>
          </w:rPr>
          <w:instrText xml:space="preserve"> PAGEREF _Toc129599287 \h </w:instrText>
        </w:r>
        <w:r w:rsidR="007F09B1">
          <w:rPr>
            <w:webHidden/>
          </w:rPr>
        </w:r>
        <w:r w:rsidR="007F09B1">
          <w:rPr>
            <w:webHidden/>
          </w:rPr>
          <w:fldChar w:fldCharType="separate"/>
        </w:r>
        <w:r w:rsidR="00894EB3">
          <w:rPr>
            <w:webHidden/>
          </w:rPr>
          <w:t>27</w:t>
        </w:r>
        <w:r w:rsidR="007F09B1">
          <w:rPr>
            <w:webHidden/>
          </w:rPr>
          <w:fldChar w:fldCharType="end"/>
        </w:r>
      </w:hyperlink>
    </w:p>
    <w:p w14:paraId="42B92A32" w14:textId="6DCA33F4" w:rsidR="007F09B1" w:rsidRDefault="00DA6815">
      <w:pPr>
        <w:pStyle w:val="TOC3"/>
        <w:tabs>
          <w:tab w:val="right" w:leader="dot" w:pos="10240"/>
        </w:tabs>
        <w:rPr>
          <w:rFonts w:asciiTheme="minorHAnsi" w:eastAsiaTheme="minorEastAsia" w:hAnsiTheme="minorHAnsi" w:cstheme="minorBidi"/>
          <w:sz w:val="22"/>
          <w:szCs w:val="22"/>
          <w:lang w:val="bg-BG" w:eastAsia="bg-BG"/>
        </w:rPr>
      </w:pPr>
      <w:hyperlink w:anchor="_Toc129599288" w:history="1">
        <w:r w:rsidR="007F09B1" w:rsidRPr="000746F7">
          <w:rPr>
            <w:rStyle w:val="Hyperlink"/>
          </w:rPr>
          <w:t>2.1.3. Индикативна разбивка на ресурсите по програмата (ЕС) по вид интервенция</w:t>
        </w:r>
        <w:r w:rsidR="007F09B1">
          <w:rPr>
            <w:webHidden/>
          </w:rPr>
          <w:tab/>
        </w:r>
        <w:r w:rsidR="007F09B1">
          <w:rPr>
            <w:webHidden/>
          </w:rPr>
          <w:fldChar w:fldCharType="begin"/>
        </w:r>
        <w:r w:rsidR="007F09B1">
          <w:rPr>
            <w:webHidden/>
          </w:rPr>
          <w:instrText xml:space="preserve"> PAGEREF _Toc129599288 \h </w:instrText>
        </w:r>
        <w:r w:rsidR="007F09B1">
          <w:rPr>
            <w:webHidden/>
          </w:rPr>
        </w:r>
        <w:r w:rsidR="007F09B1">
          <w:rPr>
            <w:webHidden/>
          </w:rPr>
          <w:fldChar w:fldCharType="separate"/>
        </w:r>
        <w:r w:rsidR="00894EB3">
          <w:rPr>
            <w:webHidden/>
          </w:rPr>
          <w:t>32</w:t>
        </w:r>
        <w:r w:rsidR="007F09B1">
          <w:rPr>
            <w:webHidden/>
          </w:rPr>
          <w:fldChar w:fldCharType="end"/>
        </w:r>
      </w:hyperlink>
    </w:p>
    <w:p w14:paraId="5494A265" w14:textId="013806C3"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289" w:history="1">
        <w:r w:rsidR="007F09B1" w:rsidRPr="000746F7">
          <w:rPr>
            <w:rStyle w:val="Hyperlink"/>
          </w:rPr>
          <w:t>Таблица 3: Индикативна разбивка</w:t>
        </w:r>
        <w:r w:rsidR="007F09B1">
          <w:rPr>
            <w:webHidden/>
          </w:rPr>
          <w:tab/>
        </w:r>
        <w:r w:rsidR="007F09B1">
          <w:rPr>
            <w:webHidden/>
          </w:rPr>
          <w:fldChar w:fldCharType="begin"/>
        </w:r>
        <w:r w:rsidR="007F09B1">
          <w:rPr>
            <w:webHidden/>
          </w:rPr>
          <w:instrText xml:space="preserve"> PAGEREF _Toc129599289 \h </w:instrText>
        </w:r>
        <w:r w:rsidR="007F09B1">
          <w:rPr>
            <w:webHidden/>
          </w:rPr>
        </w:r>
        <w:r w:rsidR="007F09B1">
          <w:rPr>
            <w:webHidden/>
          </w:rPr>
          <w:fldChar w:fldCharType="separate"/>
        </w:r>
        <w:r w:rsidR="00894EB3">
          <w:rPr>
            <w:webHidden/>
          </w:rPr>
          <w:t>32</w:t>
        </w:r>
        <w:r w:rsidR="007F09B1">
          <w:rPr>
            <w:webHidden/>
          </w:rPr>
          <w:fldChar w:fldCharType="end"/>
        </w:r>
      </w:hyperlink>
    </w:p>
    <w:p w14:paraId="6526DB8C" w14:textId="5D6828B3"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290" w:history="1">
        <w:r w:rsidR="007F09B1" w:rsidRPr="000746F7">
          <w:rPr>
            <w:rStyle w:val="Hyperlink"/>
          </w:rPr>
          <w:t>2.1. Специфична цел 3: Предотвратяване и борба с престъпността</w:t>
        </w:r>
        <w:r w:rsidR="007F09B1">
          <w:rPr>
            <w:webHidden/>
          </w:rPr>
          <w:tab/>
        </w:r>
        <w:r w:rsidR="007F09B1">
          <w:rPr>
            <w:webHidden/>
          </w:rPr>
          <w:fldChar w:fldCharType="begin"/>
        </w:r>
        <w:r w:rsidR="007F09B1">
          <w:rPr>
            <w:webHidden/>
          </w:rPr>
          <w:instrText xml:space="preserve"> PAGEREF _Toc129599290 \h </w:instrText>
        </w:r>
        <w:r w:rsidR="007F09B1">
          <w:rPr>
            <w:webHidden/>
          </w:rPr>
        </w:r>
        <w:r w:rsidR="007F09B1">
          <w:rPr>
            <w:webHidden/>
          </w:rPr>
          <w:fldChar w:fldCharType="separate"/>
        </w:r>
        <w:r w:rsidR="00894EB3">
          <w:rPr>
            <w:webHidden/>
          </w:rPr>
          <w:t>33</w:t>
        </w:r>
        <w:r w:rsidR="007F09B1">
          <w:rPr>
            <w:webHidden/>
          </w:rPr>
          <w:fldChar w:fldCharType="end"/>
        </w:r>
      </w:hyperlink>
    </w:p>
    <w:p w14:paraId="1EC1886A" w14:textId="7FEE4E44" w:rsidR="007F09B1" w:rsidRDefault="00DA6815">
      <w:pPr>
        <w:pStyle w:val="TOC3"/>
        <w:tabs>
          <w:tab w:val="right" w:leader="dot" w:pos="10240"/>
        </w:tabs>
        <w:rPr>
          <w:rFonts w:asciiTheme="minorHAnsi" w:eastAsiaTheme="minorEastAsia" w:hAnsiTheme="minorHAnsi" w:cstheme="minorBidi"/>
          <w:sz w:val="22"/>
          <w:szCs w:val="22"/>
          <w:lang w:val="bg-BG" w:eastAsia="bg-BG"/>
        </w:rPr>
      </w:pPr>
      <w:hyperlink w:anchor="_Toc129599291" w:history="1">
        <w:r w:rsidR="007F09B1" w:rsidRPr="000746F7">
          <w:rPr>
            <w:rStyle w:val="Hyperlink"/>
          </w:rPr>
          <w:t>2.1.1. Описание на специфичната цел</w:t>
        </w:r>
        <w:r w:rsidR="007F09B1">
          <w:rPr>
            <w:webHidden/>
          </w:rPr>
          <w:tab/>
        </w:r>
        <w:r w:rsidR="007F09B1">
          <w:rPr>
            <w:webHidden/>
          </w:rPr>
          <w:fldChar w:fldCharType="begin"/>
        </w:r>
        <w:r w:rsidR="007F09B1">
          <w:rPr>
            <w:webHidden/>
          </w:rPr>
          <w:instrText xml:space="preserve"> PAGEREF _Toc129599291 \h </w:instrText>
        </w:r>
        <w:r w:rsidR="007F09B1">
          <w:rPr>
            <w:webHidden/>
          </w:rPr>
        </w:r>
        <w:r w:rsidR="007F09B1">
          <w:rPr>
            <w:webHidden/>
          </w:rPr>
          <w:fldChar w:fldCharType="separate"/>
        </w:r>
        <w:r w:rsidR="00894EB3">
          <w:rPr>
            <w:webHidden/>
          </w:rPr>
          <w:t>33</w:t>
        </w:r>
        <w:r w:rsidR="007F09B1">
          <w:rPr>
            <w:webHidden/>
          </w:rPr>
          <w:fldChar w:fldCharType="end"/>
        </w:r>
      </w:hyperlink>
    </w:p>
    <w:p w14:paraId="019B1C55" w14:textId="743D79F1" w:rsidR="007F09B1" w:rsidRDefault="00DA6815">
      <w:pPr>
        <w:pStyle w:val="TOC3"/>
        <w:tabs>
          <w:tab w:val="right" w:leader="dot" w:pos="10240"/>
        </w:tabs>
        <w:rPr>
          <w:rFonts w:asciiTheme="minorHAnsi" w:eastAsiaTheme="minorEastAsia" w:hAnsiTheme="minorHAnsi" w:cstheme="minorBidi"/>
          <w:sz w:val="22"/>
          <w:szCs w:val="22"/>
          <w:lang w:val="bg-BG" w:eastAsia="bg-BG"/>
        </w:rPr>
      </w:pPr>
      <w:hyperlink w:anchor="_Toc129599292" w:history="1">
        <w:r w:rsidR="007F09B1" w:rsidRPr="000746F7">
          <w:rPr>
            <w:rStyle w:val="Hyperlink"/>
            <w:lang w:val="bg-BG"/>
          </w:rPr>
          <w:t>2.1.2. Показатели</w:t>
        </w:r>
        <w:r w:rsidR="007F09B1">
          <w:rPr>
            <w:webHidden/>
          </w:rPr>
          <w:tab/>
        </w:r>
        <w:r w:rsidR="007F09B1">
          <w:rPr>
            <w:webHidden/>
          </w:rPr>
          <w:fldChar w:fldCharType="begin"/>
        </w:r>
        <w:r w:rsidR="007F09B1">
          <w:rPr>
            <w:webHidden/>
          </w:rPr>
          <w:instrText xml:space="preserve"> PAGEREF _Toc129599292 \h </w:instrText>
        </w:r>
        <w:r w:rsidR="007F09B1">
          <w:rPr>
            <w:webHidden/>
          </w:rPr>
        </w:r>
        <w:r w:rsidR="007F09B1">
          <w:rPr>
            <w:webHidden/>
          </w:rPr>
          <w:fldChar w:fldCharType="separate"/>
        </w:r>
        <w:r w:rsidR="00894EB3">
          <w:rPr>
            <w:webHidden/>
          </w:rPr>
          <w:t>40</w:t>
        </w:r>
        <w:r w:rsidR="007F09B1">
          <w:rPr>
            <w:webHidden/>
          </w:rPr>
          <w:fldChar w:fldCharType="end"/>
        </w:r>
      </w:hyperlink>
    </w:p>
    <w:p w14:paraId="369AA9D8" w14:textId="757BFA79"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293" w:history="1">
        <w:r w:rsidR="007F09B1" w:rsidRPr="000746F7">
          <w:rPr>
            <w:rStyle w:val="Hyperlink"/>
            <w:lang w:val="bg-BG"/>
          </w:rPr>
          <w:t>Таблица 1: Показатели за крайния продукт</w:t>
        </w:r>
        <w:r w:rsidR="007F09B1">
          <w:rPr>
            <w:webHidden/>
          </w:rPr>
          <w:tab/>
        </w:r>
        <w:r w:rsidR="007F09B1">
          <w:rPr>
            <w:webHidden/>
          </w:rPr>
          <w:fldChar w:fldCharType="begin"/>
        </w:r>
        <w:r w:rsidR="007F09B1">
          <w:rPr>
            <w:webHidden/>
          </w:rPr>
          <w:instrText xml:space="preserve"> PAGEREF _Toc129599293 \h </w:instrText>
        </w:r>
        <w:r w:rsidR="007F09B1">
          <w:rPr>
            <w:webHidden/>
          </w:rPr>
        </w:r>
        <w:r w:rsidR="007F09B1">
          <w:rPr>
            <w:webHidden/>
          </w:rPr>
          <w:fldChar w:fldCharType="separate"/>
        </w:r>
        <w:r w:rsidR="00894EB3">
          <w:rPr>
            <w:webHidden/>
          </w:rPr>
          <w:t>40</w:t>
        </w:r>
        <w:r w:rsidR="007F09B1">
          <w:rPr>
            <w:webHidden/>
          </w:rPr>
          <w:fldChar w:fldCharType="end"/>
        </w:r>
      </w:hyperlink>
    </w:p>
    <w:p w14:paraId="66728973" w14:textId="3044F1C3"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294" w:history="1">
        <w:r w:rsidR="007F09B1" w:rsidRPr="000746F7">
          <w:rPr>
            <w:rStyle w:val="Hyperlink"/>
          </w:rPr>
          <w:t>Таблица 2: Показатели за резултата</w:t>
        </w:r>
        <w:r w:rsidR="007F09B1">
          <w:rPr>
            <w:webHidden/>
          </w:rPr>
          <w:tab/>
        </w:r>
        <w:r w:rsidR="007F09B1">
          <w:rPr>
            <w:webHidden/>
          </w:rPr>
          <w:fldChar w:fldCharType="begin"/>
        </w:r>
        <w:r w:rsidR="007F09B1">
          <w:rPr>
            <w:webHidden/>
          </w:rPr>
          <w:instrText xml:space="preserve"> PAGEREF _Toc129599294 \h </w:instrText>
        </w:r>
        <w:r w:rsidR="007F09B1">
          <w:rPr>
            <w:webHidden/>
          </w:rPr>
        </w:r>
        <w:r w:rsidR="007F09B1">
          <w:rPr>
            <w:webHidden/>
          </w:rPr>
          <w:fldChar w:fldCharType="separate"/>
        </w:r>
        <w:r w:rsidR="00894EB3">
          <w:rPr>
            <w:webHidden/>
          </w:rPr>
          <w:t>41</w:t>
        </w:r>
        <w:r w:rsidR="007F09B1">
          <w:rPr>
            <w:webHidden/>
          </w:rPr>
          <w:fldChar w:fldCharType="end"/>
        </w:r>
      </w:hyperlink>
    </w:p>
    <w:p w14:paraId="530FFF1B" w14:textId="5FFB9EC7" w:rsidR="007F09B1" w:rsidRDefault="00DA6815">
      <w:pPr>
        <w:pStyle w:val="TOC3"/>
        <w:tabs>
          <w:tab w:val="left" w:pos="1840"/>
          <w:tab w:val="right" w:leader="dot" w:pos="10240"/>
        </w:tabs>
        <w:rPr>
          <w:rFonts w:asciiTheme="minorHAnsi" w:eastAsiaTheme="minorEastAsia" w:hAnsiTheme="minorHAnsi" w:cstheme="minorBidi"/>
          <w:sz w:val="22"/>
          <w:szCs w:val="22"/>
          <w:lang w:val="bg-BG" w:eastAsia="bg-BG"/>
        </w:rPr>
      </w:pPr>
      <w:hyperlink w:anchor="_Toc129599295" w:history="1">
        <w:r w:rsidR="007F09B1" w:rsidRPr="000746F7">
          <w:rPr>
            <w:rStyle w:val="Hyperlink"/>
          </w:rPr>
          <w:t>2.1.3. Индикативна разбивка на ресурсите по програмата (ЕС) по вид интервенция</w:t>
        </w:r>
        <w:r w:rsidR="007F09B1">
          <w:rPr>
            <w:webHidden/>
          </w:rPr>
          <w:tab/>
        </w:r>
        <w:r w:rsidR="007F09B1">
          <w:rPr>
            <w:webHidden/>
          </w:rPr>
          <w:fldChar w:fldCharType="begin"/>
        </w:r>
        <w:r w:rsidR="007F09B1">
          <w:rPr>
            <w:webHidden/>
          </w:rPr>
          <w:instrText xml:space="preserve"> PAGEREF _Toc129599295 \h </w:instrText>
        </w:r>
        <w:r w:rsidR="007F09B1">
          <w:rPr>
            <w:webHidden/>
          </w:rPr>
        </w:r>
        <w:r w:rsidR="007F09B1">
          <w:rPr>
            <w:webHidden/>
          </w:rPr>
          <w:fldChar w:fldCharType="separate"/>
        </w:r>
        <w:r w:rsidR="00894EB3">
          <w:rPr>
            <w:webHidden/>
          </w:rPr>
          <w:t>43</w:t>
        </w:r>
        <w:r w:rsidR="007F09B1">
          <w:rPr>
            <w:webHidden/>
          </w:rPr>
          <w:fldChar w:fldCharType="end"/>
        </w:r>
      </w:hyperlink>
    </w:p>
    <w:p w14:paraId="27BA9217" w14:textId="5307296F"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296" w:history="1">
        <w:r w:rsidR="007F09B1" w:rsidRPr="000746F7">
          <w:rPr>
            <w:rStyle w:val="Hyperlink"/>
          </w:rPr>
          <w:t>Таблица 3: Индикативна разбивка</w:t>
        </w:r>
        <w:r w:rsidR="007F09B1">
          <w:rPr>
            <w:webHidden/>
          </w:rPr>
          <w:tab/>
        </w:r>
        <w:r w:rsidR="007F09B1">
          <w:rPr>
            <w:webHidden/>
          </w:rPr>
          <w:fldChar w:fldCharType="begin"/>
        </w:r>
        <w:r w:rsidR="007F09B1">
          <w:rPr>
            <w:webHidden/>
          </w:rPr>
          <w:instrText xml:space="preserve"> PAGEREF _Toc129599296 \h </w:instrText>
        </w:r>
        <w:r w:rsidR="007F09B1">
          <w:rPr>
            <w:webHidden/>
          </w:rPr>
        </w:r>
        <w:r w:rsidR="007F09B1">
          <w:rPr>
            <w:webHidden/>
          </w:rPr>
          <w:fldChar w:fldCharType="separate"/>
        </w:r>
        <w:r w:rsidR="00894EB3">
          <w:rPr>
            <w:webHidden/>
          </w:rPr>
          <w:t>43</w:t>
        </w:r>
        <w:r w:rsidR="007F09B1">
          <w:rPr>
            <w:webHidden/>
          </w:rPr>
          <w:fldChar w:fldCharType="end"/>
        </w:r>
      </w:hyperlink>
    </w:p>
    <w:p w14:paraId="3B8349AF" w14:textId="54CD6BCD"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297" w:history="1">
        <w:r w:rsidR="007F09B1" w:rsidRPr="000746F7">
          <w:rPr>
            <w:rStyle w:val="Hyperlink"/>
          </w:rPr>
          <w:t xml:space="preserve">2.2. Техническа помощ: </w:t>
        </w:r>
        <w:r w:rsidR="007F09B1" w:rsidRPr="000746F7">
          <w:rPr>
            <w:rStyle w:val="Hyperlink"/>
            <w:lang w:val="bg-BG"/>
          </w:rPr>
          <w:t xml:space="preserve">ТП </w:t>
        </w:r>
        <w:r w:rsidR="007F09B1" w:rsidRPr="000746F7">
          <w:rPr>
            <w:rStyle w:val="Hyperlink"/>
          </w:rPr>
          <w:t xml:space="preserve">36(5). Техническа помощ – </w:t>
        </w:r>
        <w:r w:rsidR="007F09B1" w:rsidRPr="000746F7">
          <w:rPr>
            <w:rStyle w:val="Hyperlink"/>
            <w:lang w:val="bg-BG"/>
          </w:rPr>
          <w:t xml:space="preserve">единна </w:t>
        </w:r>
        <w:r w:rsidR="007F09B1" w:rsidRPr="000746F7">
          <w:rPr>
            <w:rStyle w:val="Hyperlink"/>
          </w:rPr>
          <w:t>ставка (</w:t>
        </w:r>
        <w:r w:rsidR="007F09B1" w:rsidRPr="000746F7">
          <w:rPr>
            <w:rStyle w:val="Hyperlink"/>
            <w:lang w:val="bg-BG"/>
          </w:rPr>
          <w:t>чл</w:t>
        </w:r>
        <w:r w:rsidR="007F09B1" w:rsidRPr="000746F7">
          <w:rPr>
            <w:rStyle w:val="Hyperlink"/>
          </w:rPr>
          <w:t xml:space="preserve">. 36(5) </w:t>
        </w:r>
        <w:r w:rsidR="007F09B1" w:rsidRPr="000746F7">
          <w:rPr>
            <w:rStyle w:val="Hyperlink"/>
            <w:lang w:val="bg-BG"/>
          </w:rPr>
          <w:t>РОР</w:t>
        </w:r>
        <w:r w:rsidR="007F09B1" w:rsidRPr="000746F7">
          <w:rPr>
            <w:rStyle w:val="Hyperlink"/>
          </w:rPr>
          <w:t>)</w:t>
        </w:r>
        <w:r w:rsidR="007F09B1">
          <w:rPr>
            <w:webHidden/>
          </w:rPr>
          <w:tab/>
        </w:r>
        <w:r w:rsidR="007F09B1">
          <w:rPr>
            <w:webHidden/>
          </w:rPr>
          <w:fldChar w:fldCharType="begin"/>
        </w:r>
        <w:r w:rsidR="007F09B1">
          <w:rPr>
            <w:webHidden/>
          </w:rPr>
          <w:instrText xml:space="preserve"> PAGEREF _Toc129599297 \h </w:instrText>
        </w:r>
        <w:r w:rsidR="007F09B1">
          <w:rPr>
            <w:webHidden/>
          </w:rPr>
        </w:r>
        <w:r w:rsidR="007F09B1">
          <w:rPr>
            <w:webHidden/>
          </w:rPr>
          <w:fldChar w:fldCharType="separate"/>
        </w:r>
        <w:r w:rsidR="00894EB3">
          <w:rPr>
            <w:webHidden/>
          </w:rPr>
          <w:t>44</w:t>
        </w:r>
        <w:r w:rsidR="007F09B1">
          <w:rPr>
            <w:webHidden/>
          </w:rPr>
          <w:fldChar w:fldCharType="end"/>
        </w:r>
      </w:hyperlink>
    </w:p>
    <w:p w14:paraId="36AE836F" w14:textId="67AD8790" w:rsidR="007F09B1" w:rsidRDefault="00DA6815">
      <w:pPr>
        <w:pStyle w:val="TOC3"/>
        <w:tabs>
          <w:tab w:val="right" w:leader="dot" w:pos="10240"/>
        </w:tabs>
        <w:rPr>
          <w:rFonts w:asciiTheme="minorHAnsi" w:eastAsiaTheme="minorEastAsia" w:hAnsiTheme="minorHAnsi" w:cstheme="minorBidi"/>
          <w:sz w:val="22"/>
          <w:szCs w:val="22"/>
          <w:lang w:val="bg-BG" w:eastAsia="bg-BG"/>
        </w:rPr>
      </w:pPr>
      <w:hyperlink w:anchor="_Toc129599298" w:history="1">
        <w:r w:rsidR="007F09B1" w:rsidRPr="000746F7">
          <w:rPr>
            <w:rStyle w:val="Hyperlink"/>
          </w:rPr>
          <w:t>2.2.1. Описание</w:t>
        </w:r>
        <w:r w:rsidR="007F09B1">
          <w:rPr>
            <w:webHidden/>
          </w:rPr>
          <w:tab/>
        </w:r>
        <w:r w:rsidR="007F09B1">
          <w:rPr>
            <w:webHidden/>
          </w:rPr>
          <w:fldChar w:fldCharType="begin"/>
        </w:r>
        <w:r w:rsidR="007F09B1">
          <w:rPr>
            <w:webHidden/>
          </w:rPr>
          <w:instrText xml:space="preserve"> PAGEREF _Toc129599298 \h </w:instrText>
        </w:r>
        <w:r w:rsidR="007F09B1">
          <w:rPr>
            <w:webHidden/>
          </w:rPr>
        </w:r>
        <w:r w:rsidR="007F09B1">
          <w:rPr>
            <w:webHidden/>
          </w:rPr>
          <w:fldChar w:fldCharType="separate"/>
        </w:r>
        <w:r w:rsidR="00894EB3">
          <w:rPr>
            <w:webHidden/>
          </w:rPr>
          <w:t>44</w:t>
        </w:r>
        <w:r w:rsidR="007F09B1">
          <w:rPr>
            <w:webHidden/>
          </w:rPr>
          <w:fldChar w:fldCharType="end"/>
        </w:r>
      </w:hyperlink>
    </w:p>
    <w:p w14:paraId="5FF51064" w14:textId="07369554" w:rsidR="007F09B1" w:rsidRDefault="00DA6815">
      <w:pPr>
        <w:pStyle w:val="TOC3"/>
        <w:tabs>
          <w:tab w:val="right" w:leader="dot" w:pos="10240"/>
        </w:tabs>
        <w:rPr>
          <w:rFonts w:asciiTheme="minorHAnsi" w:eastAsiaTheme="minorEastAsia" w:hAnsiTheme="minorHAnsi" w:cstheme="minorBidi"/>
          <w:sz w:val="22"/>
          <w:szCs w:val="22"/>
          <w:lang w:val="bg-BG" w:eastAsia="bg-BG"/>
        </w:rPr>
      </w:pPr>
      <w:hyperlink w:anchor="_Toc129599299" w:history="1">
        <w:r w:rsidR="007F09B1" w:rsidRPr="000746F7">
          <w:rPr>
            <w:rStyle w:val="Hyperlink"/>
          </w:rPr>
          <w:t xml:space="preserve">2.2.2. </w:t>
        </w:r>
        <w:r w:rsidR="007F09B1" w:rsidRPr="000746F7">
          <w:rPr>
            <w:rStyle w:val="Hyperlink"/>
            <w:lang w:val="bg-BG"/>
          </w:rPr>
          <w:t>Индикативна разбивка на техническата помощ съгласно чл. 37 от РОР</w:t>
        </w:r>
        <w:r w:rsidR="007F09B1">
          <w:rPr>
            <w:webHidden/>
          </w:rPr>
          <w:tab/>
        </w:r>
        <w:r w:rsidR="007F09B1">
          <w:rPr>
            <w:webHidden/>
          </w:rPr>
          <w:fldChar w:fldCharType="begin"/>
        </w:r>
        <w:r w:rsidR="007F09B1">
          <w:rPr>
            <w:webHidden/>
          </w:rPr>
          <w:instrText xml:space="preserve"> PAGEREF _Toc129599299 \h </w:instrText>
        </w:r>
        <w:r w:rsidR="007F09B1">
          <w:rPr>
            <w:webHidden/>
          </w:rPr>
        </w:r>
        <w:r w:rsidR="007F09B1">
          <w:rPr>
            <w:webHidden/>
          </w:rPr>
          <w:fldChar w:fldCharType="separate"/>
        </w:r>
        <w:r w:rsidR="00894EB3">
          <w:rPr>
            <w:webHidden/>
          </w:rPr>
          <w:t>45</w:t>
        </w:r>
        <w:r w:rsidR="007F09B1">
          <w:rPr>
            <w:webHidden/>
          </w:rPr>
          <w:fldChar w:fldCharType="end"/>
        </w:r>
      </w:hyperlink>
    </w:p>
    <w:p w14:paraId="5782A8B7" w14:textId="540B6E36"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300" w:history="1">
        <w:r w:rsidR="007F09B1" w:rsidRPr="000746F7">
          <w:rPr>
            <w:rStyle w:val="Hyperlink"/>
          </w:rPr>
          <w:t>Таблица 4: Индикативна разбивка</w:t>
        </w:r>
        <w:r w:rsidR="007F09B1">
          <w:rPr>
            <w:webHidden/>
          </w:rPr>
          <w:tab/>
        </w:r>
        <w:r w:rsidR="007F09B1">
          <w:rPr>
            <w:webHidden/>
          </w:rPr>
          <w:fldChar w:fldCharType="begin"/>
        </w:r>
        <w:r w:rsidR="007F09B1">
          <w:rPr>
            <w:webHidden/>
          </w:rPr>
          <w:instrText xml:space="preserve"> PAGEREF _Toc129599300 \h </w:instrText>
        </w:r>
        <w:r w:rsidR="007F09B1">
          <w:rPr>
            <w:webHidden/>
          </w:rPr>
        </w:r>
        <w:r w:rsidR="007F09B1">
          <w:rPr>
            <w:webHidden/>
          </w:rPr>
          <w:fldChar w:fldCharType="separate"/>
        </w:r>
        <w:r w:rsidR="00894EB3">
          <w:rPr>
            <w:webHidden/>
          </w:rPr>
          <w:t>45</w:t>
        </w:r>
        <w:r w:rsidR="007F09B1">
          <w:rPr>
            <w:webHidden/>
          </w:rPr>
          <w:fldChar w:fldCharType="end"/>
        </w:r>
      </w:hyperlink>
    </w:p>
    <w:p w14:paraId="4A8F4CE5" w14:textId="558FFE62" w:rsidR="007F09B1" w:rsidRDefault="00DA6815">
      <w:pPr>
        <w:pStyle w:val="TOC1"/>
        <w:tabs>
          <w:tab w:val="right" w:leader="dot" w:pos="10240"/>
        </w:tabs>
        <w:rPr>
          <w:rFonts w:asciiTheme="minorHAnsi" w:eastAsiaTheme="minorEastAsia" w:hAnsiTheme="minorHAnsi" w:cstheme="minorBidi"/>
          <w:sz w:val="22"/>
          <w:szCs w:val="22"/>
          <w:lang w:val="bg-BG" w:eastAsia="bg-BG"/>
        </w:rPr>
      </w:pPr>
      <w:hyperlink w:anchor="_Toc129599301" w:history="1">
        <w:r w:rsidR="007F09B1" w:rsidRPr="000746F7">
          <w:rPr>
            <w:rStyle w:val="Hyperlink"/>
          </w:rPr>
          <w:t xml:space="preserve">3. </w:t>
        </w:r>
        <w:r w:rsidR="007F09B1" w:rsidRPr="000746F7">
          <w:rPr>
            <w:rStyle w:val="Hyperlink"/>
            <w:lang w:val="bg-BG"/>
          </w:rPr>
          <w:t>План за финансиране</w:t>
        </w:r>
        <w:r w:rsidR="007F09B1">
          <w:rPr>
            <w:webHidden/>
          </w:rPr>
          <w:tab/>
        </w:r>
        <w:r w:rsidR="007F09B1">
          <w:rPr>
            <w:webHidden/>
          </w:rPr>
          <w:fldChar w:fldCharType="begin"/>
        </w:r>
        <w:r w:rsidR="007F09B1">
          <w:rPr>
            <w:webHidden/>
          </w:rPr>
          <w:instrText xml:space="preserve"> PAGEREF _Toc129599301 \h </w:instrText>
        </w:r>
        <w:r w:rsidR="007F09B1">
          <w:rPr>
            <w:webHidden/>
          </w:rPr>
        </w:r>
        <w:r w:rsidR="007F09B1">
          <w:rPr>
            <w:webHidden/>
          </w:rPr>
          <w:fldChar w:fldCharType="separate"/>
        </w:r>
        <w:r w:rsidR="00894EB3">
          <w:rPr>
            <w:webHidden/>
          </w:rPr>
          <w:t>46</w:t>
        </w:r>
        <w:r w:rsidR="007F09B1">
          <w:rPr>
            <w:webHidden/>
          </w:rPr>
          <w:fldChar w:fldCharType="end"/>
        </w:r>
      </w:hyperlink>
    </w:p>
    <w:p w14:paraId="7685D3EA" w14:textId="101EDD9B"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302" w:history="1">
        <w:r w:rsidR="007F09B1" w:rsidRPr="000746F7">
          <w:rPr>
            <w:rStyle w:val="Hyperlink"/>
          </w:rPr>
          <w:t>3.1. Финансови бюджетни кредити по години</w:t>
        </w:r>
        <w:r w:rsidR="007F09B1">
          <w:rPr>
            <w:webHidden/>
          </w:rPr>
          <w:tab/>
        </w:r>
        <w:r w:rsidR="007F09B1">
          <w:rPr>
            <w:webHidden/>
          </w:rPr>
          <w:fldChar w:fldCharType="begin"/>
        </w:r>
        <w:r w:rsidR="007F09B1">
          <w:rPr>
            <w:webHidden/>
          </w:rPr>
          <w:instrText xml:space="preserve"> PAGEREF _Toc129599302 \h </w:instrText>
        </w:r>
        <w:r w:rsidR="007F09B1">
          <w:rPr>
            <w:webHidden/>
          </w:rPr>
        </w:r>
        <w:r w:rsidR="007F09B1">
          <w:rPr>
            <w:webHidden/>
          </w:rPr>
          <w:fldChar w:fldCharType="separate"/>
        </w:r>
        <w:r w:rsidR="00894EB3">
          <w:rPr>
            <w:webHidden/>
          </w:rPr>
          <w:t>46</w:t>
        </w:r>
        <w:r w:rsidR="007F09B1">
          <w:rPr>
            <w:webHidden/>
          </w:rPr>
          <w:fldChar w:fldCharType="end"/>
        </w:r>
      </w:hyperlink>
    </w:p>
    <w:p w14:paraId="071FB956" w14:textId="0B283B49"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303" w:history="1">
        <w:r w:rsidR="007F09B1" w:rsidRPr="000746F7">
          <w:rPr>
            <w:rStyle w:val="Hyperlink"/>
          </w:rPr>
          <w:t>Таблица 5: Финансови бюджетни кредити по години</w:t>
        </w:r>
        <w:r w:rsidR="007F09B1">
          <w:rPr>
            <w:webHidden/>
          </w:rPr>
          <w:tab/>
        </w:r>
        <w:r w:rsidR="007F09B1">
          <w:rPr>
            <w:webHidden/>
          </w:rPr>
          <w:fldChar w:fldCharType="begin"/>
        </w:r>
        <w:r w:rsidR="007F09B1">
          <w:rPr>
            <w:webHidden/>
          </w:rPr>
          <w:instrText xml:space="preserve"> PAGEREF _Toc129599303 \h </w:instrText>
        </w:r>
        <w:r w:rsidR="007F09B1">
          <w:rPr>
            <w:webHidden/>
          </w:rPr>
        </w:r>
        <w:r w:rsidR="007F09B1">
          <w:rPr>
            <w:webHidden/>
          </w:rPr>
          <w:fldChar w:fldCharType="separate"/>
        </w:r>
        <w:r w:rsidR="00894EB3">
          <w:rPr>
            <w:webHidden/>
          </w:rPr>
          <w:t>46</w:t>
        </w:r>
        <w:r w:rsidR="007F09B1">
          <w:rPr>
            <w:webHidden/>
          </w:rPr>
          <w:fldChar w:fldCharType="end"/>
        </w:r>
      </w:hyperlink>
    </w:p>
    <w:p w14:paraId="6715DF7F" w14:textId="217706EF"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304" w:history="1">
        <w:r w:rsidR="007F09B1" w:rsidRPr="000746F7">
          <w:rPr>
            <w:rStyle w:val="Hyperlink"/>
          </w:rPr>
          <w:t>3.2. Общо разпределени финансови средства</w:t>
        </w:r>
        <w:r w:rsidR="007F09B1">
          <w:rPr>
            <w:webHidden/>
          </w:rPr>
          <w:tab/>
        </w:r>
        <w:r w:rsidR="007F09B1">
          <w:rPr>
            <w:webHidden/>
          </w:rPr>
          <w:fldChar w:fldCharType="begin"/>
        </w:r>
        <w:r w:rsidR="007F09B1">
          <w:rPr>
            <w:webHidden/>
          </w:rPr>
          <w:instrText xml:space="preserve"> PAGEREF _Toc129599304 \h </w:instrText>
        </w:r>
        <w:r w:rsidR="007F09B1">
          <w:rPr>
            <w:webHidden/>
          </w:rPr>
        </w:r>
        <w:r w:rsidR="007F09B1">
          <w:rPr>
            <w:webHidden/>
          </w:rPr>
          <w:fldChar w:fldCharType="separate"/>
        </w:r>
        <w:r w:rsidR="00894EB3">
          <w:rPr>
            <w:webHidden/>
          </w:rPr>
          <w:t>47</w:t>
        </w:r>
        <w:r w:rsidR="007F09B1">
          <w:rPr>
            <w:webHidden/>
          </w:rPr>
          <w:fldChar w:fldCharType="end"/>
        </w:r>
      </w:hyperlink>
    </w:p>
    <w:p w14:paraId="4D2C0160" w14:textId="6E51C721"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305" w:history="1">
        <w:r w:rsidR="007F09B1" w:rsidRPr="000746F7">
          <w:rPr>
            <w:rStyle w:val="Hyperlink"/>
          </w:rPr>
          <w:t>Таблица 6: Общо разпределени финансови средства по фондове и национален принос</w:t>
        </w:r>
        <w:r w:rsidR="007F09B1">
          <w:rPr>
            <w:webHidden/>
          </w:rPr>
          <w:tab/>
        </w:r>
        <w:r w:rsidR="007F09B1">
          <w:rPr>
            <w:webHidden/>
          </w:rPr>
          <w:fldChar w:fldCharType="begin"/>
        </w:r>
        <w:r w:rsidR="007F09B1">
          <w:rPr>
            <w:webHidden/>
          </w:rPr>
          <w:instrText xml:space="preserve"> PAGEREF _Toc129599305 \h </w:instrText>
        </w:r>
        <w:r w:rsidR="007F09B1">
          <w:rPr>
            <w:webHidden/>
          </w:rPr>
        </w:r>
        <w:r w:rsidR="007F09B1">
          <w:rPr>
            <w:webHidden/>
          </w:rPr>
          <w:fldChar w:fldCharType="separate"/>
        </w:r>
        <w:r w:rsidR="00894EB3">
          <w:rPr>
            <w:webHidden/>
          </w:rPr>
          <w:t>47</w:t>
        </w:r>
        <w:r w:rsidR="007F09B1">
          <w:rPr>
            <w:webHidden/>
          </w:rPr>
          <w:fldChar w:fldCharType="end"/>
        </w:r>
      </w:hyperlink>
    </w:p>
    <w:p w14:paraId="2C3D8B7B" w14:textId="525121B1"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306" w:history="1">
        <w:r w:rsidR="007F09B1" w:rsidRPr="000746F7">
          <w:rPr>
            <w:rStyle w:val="Hyperlink"/>
          </w:rPr>
          <w:t>3.3. Прехвърляния</w:t>
        </w:r>
        <w:r w:rsidR="007F09B1">
          <w:rPr>
            <w:webHidden/>
          </w:rPr>
          <w:tab/>
        </w:r>
        <w:r w:rsidR="007F09B1">
          <w:rPr>
            <w:webHidden/>
          </w:rPr>
          <w:fldChar w:fldCharType="begin"/>
        </w:r>
        <w:r w:rsidR="007F09B1">
          <w:rPr>
            <w:webHidden/>
          </w:rPr>
          <w:instrText xml:space="preserve"> PAGEREF _Toc129599306 \h </w:instrText>
        </w:r>
        <w:r w:rsidR="007F09B1">
          <w:rPr>
            <w:webHidden/>
          </w:rPr>
        </w:r>
        <w:r w:rsidR="007F09B1">
          <w:rPr>
            <w:webHidden/>
          </w:rPr>
          <w:fldChar w:fldCharType="separate"/>
        </w:r>
        <w:r w:rsidR="00894EB3">
          <w:rPr>
            <w:webHidden/>
          </w:rPr>
          <w:t>49</w:t>
        </w:r>
        <w:r w:rsidR="007F09B1">
          <w:rPr>
            <w:webHidden/>
          </w:rPr>
          <w:fldChar w:fldCharType="end"/>
        </w:r>
      </w:hyperlink>
    </w:p>
    <w:p w14:paraId="501CABB9" w14:textId="0D8661F0" w:rsidR="007F09B1" w:rsidRDefault="00DA6815">
      <w:pPr>
        <w:pStyle w:val="TOC3"/>
        <w:tabs>
          <w:tab w:val="right" w:leader="dot" w:pos="10240"/>
        </w:tabs>
        <w:rPr>
          <w:rFonts w:asciiTheme="minorHAnsi" w:eastAsiaTheme="minorEastAsia" w:hAnsiTheme="minorHAnsi" w:cstheme="minorBidi"/>
          <w:sz w:val="22"/>
          <w:szCs w:val="22"/>
          <w:lang w:val="bg-BG" w:eastAsia="bg-BG"/>
        </w:rPr>
      </w:pPr>
      <w:hyperlink w:anchor="_Toc129599307" w:history="1">
        <w:r w:rsidR="007F09B1" w:rsidRPr="000746F7">
          <w:rPr>
            <w:rStyle w:val="Hyperlink"/>
          </w:rPr>
          <w:t xml:space="preserve">Таблица 7: Прехвърляния между фондове при споделено управление </w:t>
        </w:r>
        <w:r w:rsidR="007F09B1" w:rsidRPr="000746F7">
          <w:rPr>
            <w:rStyle w:val="Hyperlink"/>
            <w:vertAlign w:val="superscript"/>
          </w:rPr>
          <w:t>1</w:t>
        </w:r>
        <w:r w:rsidR="007F09B1">
          <w:rPr>
            <w:webHidden/>
          </w:rPr>
          <w:tab/>
        </w:r>
        <w:r w:rsidR="007F09B1">
          <w:rPr>
            <w:webHidden/>
          </w:rPr>
          <w:fldChar w:fldCharType="begin"/>
        </w:r>
        <w:r w:rsidR="007F09B1">
          <w:rPr>
            <w:webHidden/>
          </w:rPr>
          <w:instrText xml:space="preserve"> PAGEREF _Toc129599307 \h </w:instrText>
        </w:r>
        <w:r w:rsidR="007F09B1">
          <w:rPr>
            <w:webHidden/>
          </w:rPr>
        </w:r>
        <w:r w:rsidR="007F09B1">
          <w:rPr>
            <w:webHidden/>
          </w:rPr>
          <w:fldChar w:fldCharType="separate"/>
        </w:r>
        <w:r w:rsidR="00894EB3">
          <w:rPr>
            <w:webHidden/>
          </w:rPr>
          <w:t>49</w:t>
        </w:r>
        <w:r w:rsidR="007F09B1">
          <w:rPr>
            <w:webHidden/>
          </w:rPr>
          <w:fldChar w:fldCharType="end"/>
        </w:r>
      </w:hyperlink>
    </w:p>
    <w:p w14:paraId="76F4C154" w14:textId="7767F778" w:rsidR="007F09B1" w:rsidRDefault="00DA6815">
      <w:pPr>
        <w:pStyle w:val="TOC3"/>
        <w:tabs>
          <w:tab w:val="right" w:leader="dot" w:pos="10240"/>
        </w:tabs>
        <w:rPr>
          <w:rFonts w:asciiTheme="minorHAnsi" w:eastAsiaTheme="minorEastAsia" w:hAnsiTheme="minorHAnsi" w:cstheme="minorBidi"/>
          <w:sz w:val="22"/>
          <w:szCs w:val="22"/>
          <w:lang w:val="bg-BG" w:eastAsia="bg-BG"/>
        </w:rPr>
      </w:pPr>
      <w:hyperlink w:anchor="_Toc129599308" w:history="1">
        <w:r w:rsidR="007F09B1" w:rsidRPr="000746F7">
          <w:rPr>
            <w:rStyle w:val="Hyperlink"/>
          </w:rPr>
          <w:t>Таблица 8: Прехвърляния към инструменти, изпълнявани при пряко или непряко управление</w:t>
        </w:r>
        <w:r w:rsidR="007F09B1" w:rsidRPr="000746F7">
          <w:rPr>
            <w:rStyle w:val="Hyperlink"/>
            <w:vertAlign w:val="superscript"/>
          </w:rPr>
          <w:t>1</w:t>
        </w:r>
        <w:r w:rsidR="007F09B1">
          <w:rPr>
            <w:webHidden/>
          </w:rPr>
          <w:tab/>
        </w:r>
        <w:r w:rsidR="007F09B1">
          <w:rPr>
            <w:webHidden/>
          </w:rPr>
          <w:fldChar w:fldCharType="begin"/>
        </w:r>
        <w:r w:rsidR="007F09B1">
          <w:rPr>
            <w:webHidden/>
          </w:rPr>
          <w:instrText xml:space="preserve"> PAGEREF _Toc129599308 \h </w:instrText>
        </w:r>
        <w:r w:rsidR="007F09B1">
          <w:rPr>
            <w:webHidden/>
          </w:rPr>
        </w:r>
        <w:r w:rsidR="007F09B1">
          <w:rPr>
            <w:webHidden/>
          </w:rPr>
          <w:fldChar w:fldCharType="separate"/>
        </w:r>
        <w:r w:rsidR="00894EB3">
          <w:rPr>
            <w:webHidden/>
          </w:rPr>
          <w:t>50</w:t>
        </w:r>
        <w:r w:rsidR="007F09B1">
          <w:rPr>
            <w:webHidden/>
          </w:rPr>
          <w:fldChar w:fldCharType="end"/>
        </w:r>
      </w:hyperlink>
    </w:p>
    <w:p w14:paraId="26A9ADA7" w14:textId="6A8DBB24" w:rsidR="007F09B1" w:rsidRDefault="00DA6815">
      <w:pPr>
        <w:pStyle w:val="TOC1"/>
        <w:tabs>
          <w:tab w:val="right" w:leader="dot" w:pos="10240"/>
        </w:tabs>
        <w:rPr>
          <w:rFonts w:asciiTheme="minorHAnsi" w:eastAsiaTheme="minorEastAsia" w:hAnsiTheme="minorHAnsi" w:cstheme="minorBidi"/>
          <w:sz w:val="22"/>
          <w:szCs w:val="22"/>
          <w:lang w:val="bg-BG" w:eastAsia="bg-BG"/>
        </w:rPr>
      </w:pPr>
      <w:hyperlink w:anchor="_Toc129599309" w:history="1">
        <w:r w:rsidR="007F09B1" w:rsidRPr="000746F7">
          <w:rPr>
            <w:rStyle w:val="Hyperlink"/>
          </w:rPr>
          <w:t>4. Отключващи условия</w:t>
        </w:r>
        <w:r w:rsidR="007F09B1">
          <w:rPr>
            <w:webHidden/>
          </w:rPr>
          <w:tab/>
        </w:r>
        <w:r w:rsidR="007F09B1">
          <w:rPr>
            <w:webHidden/>
          </w:rPr>
          <w:fldChar w:fldCharType="begin"/>
        </w:r>
        <w:r w:rsidR="007F09B1">
          <w:rPr>
            <w:webHidden/>
          </w:rPr>
          <w:instrText xml:space="preserve"> PAGEREF _Toc129599309 \h </w:instrText>
        </w:r>
        <w:r w:rsidR="007F09B1">
          <w:rPr>
            <w:webHidden/>
          </w:rPr>
        </w:r>
        <w:r w:rsidR="007F09B1">
          <w:rPr>
            <w:webHidden/>
          </w:rPr>
          <w:fldChar w:fldCharType="separate"/>
        </w:r>
        <w:r w:rsidR="00894EB3">
          <w:rPr>
            <w:webHidden/>
          </w:rPr>
          <w:t>51</w:t>
        </w:r>
        <w:r w:rsidR="007F09B1">
          <w:rPr>
            <w:webHidden/>
          </w:rPr>
          <w:fldChar w:fldCharType="end"/>
        </w:r>
      </w:hyperlink>
    </w:p>
    <w:p w14:paraId="56779624" w14:textId="5A513A5B"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310" w:history="1">
        <w:r w:rsidR="007F09B1" w:rsidRPr="000746F7">
          <w:rPr>
            <w:rStyle w:val="Hyperlink"/>
          </w:rPr>
          <w:t>Таблица 9: Хоризонтални отключващи услови</w:t>
        </w:r>
        <w:r w:rsidR="007F09B1" w:rsidRPr="000746F7">
          <w:rPr>
            <w:rStyle w:val="Hyperlink"/>
            <w:lang w:val="bg-BG"/>
          </w:rPr>
          <w:t>я</w:t>
        </w:r>
        <w:r w:rsidR="007F09B1">
          <w:rPr>
            <w:webHidden/>
          </w:rPr>
          <w:tab/>
        </w:r>
        <w:r w:rsidR="007F09B1">
          <w:rPr>
            <w:webHidden/>
          </w:rPr>
          <w:fldChar w:fldCharType="begin"/>
        </w:r>
        <w:r w:rsidR="007F09B1">
          <w:rPr>
            <w:webHidden/>
          </w:rPr>
          <w:instrText xml:space="preserve"> PAGEREF _Toc129599310 \h </w:instrText>
        </w:r>
        <w:r w:rsidR="007F09B1">
          <w:rPr>
            <w:webHidden/>
          </w:rPr>
        </w:r>
        <w:r w:rsidR="007F09B1">
          <w:rPr>
            <w:webHidden/>
          </w:rPr>
          <w:fldChar w:fldCharType="separate"/>
        </w:r>
        <w:r w:rsidR="00894EB3">
          <w:rPr>
            <w:webHidden/>
          </w:rPr>
          <w:t>51</w:t>
        </w:r>
        <w:r w:rsidR="007F09B1">
          <w:rPr>
            <w:webHidden/>
          </w:rPr>
          <w:fldChar w:fldCharType="end"/>
        </w:r>
      </w:hyperlink>
    </w:p>
    <w:p w14:paraId="44C7BEF1" w14:textId="79388C92" w:rsidR="007F09B1" w:rsidRDefault="00DA6815">
      <w:pPr>
        <w:pStyle w:val="TOC1"/>
        <w:tabs>
          <w:tab w:val="right" w:leader="dot" w:pos="10240"/>
        </w:tabs>
        <w:rPr>
          <w:rFonts w:asciiTheme="minorHAnsi" w:eastAsiaTheme="minorEastAsia" w:hAnsiTheme="minorHAnsi" w:cstheme="minorBidi"/>
          <w:sz w:val="22"/>
          <w:szCs w:val="22"/>
          <w:lang w:val="bg-BG" w:eastAsia="bg-BG"/>
        </w:rPr>
      </w:pPr>
      <w:hyperlink w:anchor="_Toc129599311" w:history="1">
        <w:r w:rsidR="007F09B1" w:rsidRPr="000746F7">
          <w:rPr>
            <w:rStyle w:val="Hyperlink"/>
          </w:rPr>
          <w:t>5. Програмни органи</w:t>
        </w:r>
        <w:r w:rsidR="007F09B1">
          <w:rPr>
            <w:webHidden/>
          </w:rPr>
          <w:tab/>
        </w:r>
        <w:r w:rsidR="007F09B1">
          <w:rPr>
            <w:webHidden/>
          </w:rPr>
          <w:fldChar w:fldCharType="begin"/>
        </w:r>
        <w:r w:rsidR="007F09B1">
          <w:rPr>
            <w:webHidden/>
          </w:rPr>
          <w:instrText xml:space="preserve"> PAGEREF _Toc129599311 \h </w:instrText>
        </w:r>
        <w:r w:rsidR="007F09B1">
          <w:rPr>
            <w:webHidden/>
          </w:rPr>
        </w:r>
        <w:r w:rsidR="007F09B1">
          <w:rPr>
            <w:webHidden/>
          </w:rPr>
          <w:fldChar w:fldCharType="separate"/>
        </w:r>
        <w:r w:rsidR="00894EB3">
          <w:rPr>
            <w:webHidden/>
          </w:rPr>
          <w:t>58</w:t>
        </w:r>
        <w:r w:rsidR="007F09B1">
          <w:rPr>
            <w:webHidden/>
          </w:rPr>
          <w:fldChar w:fldCharType="end"/>
        </w:r>
      </w:hyperlink>
    </w:p>
    <w:p w14:paraId="3DF4F18D" w14:textId="0975C33D"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312" w:history="1">
        <w:r w:rsidR="007F09B1" w:rsidRPr="000746F7">
          <w:rPr>
            <w:rStyle w:val="Hyperlink"/>
          </w:rPr>
          <w:t>Таблица 10: Програмни органи</w:t>
        </w:r>
        <w:r w:rsidR="007F09B1">
          <w:rPr>
            <w:webHidden/>
          </w:rPr>
          <w:tab/>
        </w:r>
        <w:r w:rsidR="007F09B1">
          <w:rPr>
            <w:webHidden/>
          </w:rPr>
          <w:fldChar w:fldCharType="begin"/>
        </w:r>
        <w:r w:rsidR="007F09B1">
          <w:rPr>
            <w:webHidden/>
          </w:rPr>
          <w:instrText xml:space="preserve"> PAGEREF _Toc129599312 \h </w:instrText>
        </w:r>
        <w:r w:rsidR="007F09B1">
          <w:rPr>
            <w:webHidden/>
          </w:rPr>
        </w:r>
        <w:r w:rsidR="007F09B1">
          <w:rPr>
            <w:webHidden/>
          </w:rPr>
          <w:fldChar w:fldCharType="separate"/>
        </w:r>
        <w:r w:rsidR="00894EB3">
          <w:rPr>
            <w:webHidden/>
          </w:rPr>
          <w:t>58</w:t>
        </w:r>
        <w:r w:rsidR="007F09B1">
          <w:rPr>
            <w:webHidden/>
          </w:rPr>
          <w:fldChar w:fldCharType="end"/>
        </w:r>
      </w:hyperlink>
    </w:p>
    <w:p w14:paraId="78E38B6E" w14:textId="05CFBAEE" w:rsidR="007F09B1" w:rsidRDefault="00DA6815">
      <w:pPr>
        <w:pStyle w:val="TOC1"/>
        <w:tabs>
          <w:tab w:val="right" w:leader="dot" w:pos="10240"/>
        </w:tabs>
        <w:rPr>
          <w:rFonts w:asciiTheme="minorHAnsi" w:eastAsiaTheme="minorEastAsia" w:hAnsiTheme="minorHAnsi" w:cstheme="minorBidi"/>
          <w:sz w:val="22"/>
          <w:szCs w:val="22"/>
          <w:lang w:val="bg-BG" w:eastAsia="bg-BG"/>
        </w:rPr>
      </w:pPr>
      <w:hyperlink w:anchor="_Toc129599313" w:history="1">
        <w:r w:rsidR="007F09B1" w:rsidRPr="000746F7">
          <w:rPr>
            <w:rStyle w:val="Hyperlink"/>
          </w:rPr>
          <w:t xml:space="preserve">6. </w:t>
        </w:r>
        <w:r w:rsidR="007F09B1" w:rsidRPr="000746F7">
          <w:rPr>
            <w:rStyle w:val="Hyperlink"/>
            <w:lang w:val="bg-BG"/>
          </w:rPr>
          <w:t>Партньорство</w:t>
        </w:r>
        <w:r w:rsidR="007F09B1">
          <w:rPr>
            <w:webHidden/>
          </w:rPr>
          <w:tab/>
        </w:r>
        <w:r w:rsidR="007F09B1">
          <w:rPr>
            <w:webHidden/>
          </w:rPr>
          <w:fldChar w:fldCharType="begin"/>
        </w:r>
        <w:r w:rsidR="007F09B1">
          <w:rPr>
            <w:webHidden/>
          </w:rPr>
          <w:instrText xml:space="preserve"> PAGEREF _Toc129599313 \h </w:instrText>
        </w:r>
        <w:r w:rsidR="007F09B1">
          <w:rPr>
            <w:webHidden/>
          </w:rPr>
        </w:r>
        <w:r w:rsidR="007F09B1">
          <w:rPr>
            <w:webHidden/>
          </w:rPr>
          <w:fldChar w:fldCharType="separate"/>
        </w:r>
        <w:r w:rsidR="00894EB3">
          <w:rPr>
            <w:webHidden/>
          </w:rPr>
          <w:t>59</w:t>
        </w:r>
        <w:r w:rsidR="007F09B1">
          <w:rPr>
            <w:webHidden/>
          </w:rPr>
          <w:fldChar w:fldCharType="end"/>
        </w:r>
      </w:hyperlink>
    </w:p>
    <w:p w14:paraId="4C68F9AA" w14:textId="0D42DFAE" w:rsidR="007F09B1" w:rsidRDefault="00DA6815">
      <w:pPr>
        <w:pStyle w:val="TOC1"/>
        <w:tabs>
          <w:tab w:val="right" w:leader="dot" w:pos="10240"/>
        </w:tabs>
        <w:rPr>
          <w:rFonts w:asciiTheme="minorHAnsi" w:eastAsiaTheme="minorEastAsia" w:hAnsiTheme="minorHAnsi" w:cstheme="minorBidi"/>
          <w:sz w:val="22"/>
          <w:szCs w:val="22"/>
          <w:lang w:val="bg-BG" w:eastAsia="bg-BG"/>
        </w:rPr>
      </w:pPr>
      <w:hyperlink w:anchor="_Toc129599314" w:history="1">
        <w:r w:rsidR="007F09B1" w:rsidRPr="000746F7">
          <w:rPr>
            <w:rStyle w:val="Hyperlink"/>
            <w:lang w:val="bg-BG"/>
          </w:rPr>
          <w:t>7. Комуникация и видимост</w:t>
        </w:r>
        <w:r w:rsidR="007F09B1">
          <w:rPr>
            <w:webHidden/>
          </w:rPr>
          <w:tab/>
        </w:r>
        <w:r w:rsidR="007F09B1">
          <w:rPr>
            <w:webHidden/>
          </w:rPr>
          <w:fldChar w:fldCharType="begin"/>
        </w:r>
        <w:r w:rsidR="007F09B1">
          <w:rPr>
            <w:webHidden/>
          </w:rPr>
          <w:instrText xml:space="preserve"> PAGEREF _Toc129599314 \h </w:instrText>
        </w:r>
        <w:r w:rsidR="007F09B1">
          <w:rPr>
            <w:webHidden/>
          </w:rPr>
        </w:r>
        <w:r w:rsidR="007F09B1">
          <w:rPr>
            <w:webHidden/>
          </w:rPr>
          <w:fldChar w:fldCharType="separate"/>
        </w:r>
        <w:r w:rsidR="00894EB3">
          <w:rPr>
            <w:webHidden/>
          </w:rPr>
          <w:t>62</w:t>
        </w:r>
        <w:r w:rsidR="007F09B1">
          <w:rPr>
            <w:webHidden/>
          </w:rPr>
          <w:fldChar w:fldCharType="end"/>
        </w:r>
      </w:hyperlink>
    </w:p>
    <w:p w14:paraId="723ECE97" w14:textId="598BD7EC" w:rsidR="007F09B1" w:rsidRDefault="00DA6815">
      <w:pPr>
        <w:pStyle w:val="TOC1"/>
        <w:tabs>
          <w:tab w:val="right" w:leader="dot" w:pos="10240"/>
        </w:tabs>
        <w:rPr>
          <w:rFonts w:asciiTheme="minorHAnsi" w:eastAsiaTheme="minorEastAsia" w:hAnsiTheme="minorHAnsi" w:cstheme="minorBidi"/>
          <w:sz w:val="22"/>
          <w:szCs w:val="22"/>
          <w:lang w:val="bg-BG" w:eastAsia="bg-BG"/>
        </w:rPr>
      </w:pPr>
      <w:hyperlink w:anchor="_Toc129599315" w:history="1">
        <w:r w:rsidR="007F09B1" w:rsidRPr="000746F7">
          <w:rPr>
            <w:rStyle w:val="Hyperlink"/>
            <w:lang w:val="bg-BG"/>
          </w:rPr>
          <w:t>8. Използване на единични разходи, еднократни суми или единни ставки и финансиране, което не е свързано с разходи</w:t>
        </w:r>
        <w:r w:rsidR="007F09B1">
          <w:rPr>
            <w:webHidden/>
          </w:rPr>
          <w:tab/>
        </w:r>
        <w:r w:rsidR="007F09B1">
          <w:rPr>
            <w:webHidden/>
          </w:rPr>
          <w:fldChar w:fldCharType="begin"/>
        </w:r>
        <w:r w:rsidR="007F09B1">
          <w:rPr>
            <w:webHidden/>
          </w:rPr>
          <w:instrText xml:space="preserve"> PAGEREF _Toc129599315 \h </w:instrText>
        </w:r>
        <w:r w:rsidR="007F09B1">
          <w:rPr>
            <w:webHidden/>
          </w:rPr>
        </w:r>
        <w:r w:rsidR="007F09B1">
          <w:rPr>
            <w:webHidden/>
          </w:rPr>
          <w:fldChar w:fldCharType="separate"/>
        </w:r>
        <w:r w:rsidR="00894EB3">
          <w:rPr>
            <w:webHidden/>
          </w:rPr>
          <w:t>64</w:t>
        </w:r>
        <w:r w:rsidR="007F09B1">
          <w:rPr>
            <w:webHidden/>
          </w:rPr>
          <w:fldChar w:fldCharType="end"/>
        </w:r>
      </w:hyperlink>
    </w:p>
    <w:p w14:paraId="6E885CE8" w14:textId="64E75E09" w:rsidR="007F09B1" w:rsidRDefault="00DA6815">
      <w:pPr>
        <w:pStyle w:val="TOC1"/>
        <w:tabs>
          <w:tab w:val="right" w:leader="dot" w:pos="10240"/>
        </w:tabs>
        <w:rPr>
          <w:rFonts w:asciiTheme="minorHAnsi" w:eastAsiaTheme="minorEastAsia" w:hAnsiTheme="minorHAnsi" w:cstheme="minorBidi"/>
          <w:sz w:val="22"/>
          <w:szCs w:val="22"/>
          <w:lang w:val="bg-BG" w:eastAsia="bg-BG"/>
        </w:rPr>
      </w:pPr>
      <w:hyperlink w:anchor="_Toc129599316" w:history="1">
        <w:r w:rsidR="007F09B1" w:rsidRPr="000746F7">
          <w:rPr>
            <w:rStyle w:val="Hyperlink"/>
            <w:lang w:val="bg-BG"/>
          </w:rPr>
          <w:t xml:space="preserve">Допълнение </w:t>
        </w:r>
        <w:r w:rsidR="007F09B1" w:rsidRPr="000746F7">
          <w:rPr>
            <w:rStyle w:val="Hyperlink"/>
          </w:rPr>
          <w:t xml:space="preserve">1: </w:t>
        </w:r>
        <w:r w:rsidR="007F09B1" w:rsidRPr="000746F7">
          <w:rPr>
            <w:rStyle w:val="Hyperlink"/>
            <w:lang w:val="bg-BG"/>
          </w:rPr>
          <w:t>Финансово участие на Съюза на основата на единични разходи, еднократни суми и единни ставки</w:t>
        </w:r>
        <w:r w:rsidR="007F09B1">
          <w:rPr>
            <w:webHidden/>
          </w:rPr>
          <w:tab/>
        </w:r>
        <w:r w:rsidR="007F09B1">
          <w:rPr>
            <w:webHidden/>
          </w:rPr>
          <w:fldChar w:fldCharType="begin"/>
        </w:r>
        <w:r w:rsidR="007F09B1">
          <w:rPr>
            <w:webHidden/>
          </w:rPr>
          <w:instrText xml:space="preserve"> PAGEREF _Toc129599316 \h </w:instrText>
        </w:r>
        <w:r w:rsidR="007F09B1">
          <w:rPr>
            <w:webHidden/>
          </w:rPr>
        </w:r>
        <w:r w:rsidR="007F09B1">
          <w:rPr>
            <w:webHidden/>
          </w:rPr>
          <w:fldChar w:fldCharType="separate"/>
        </w:r>
        <w:r w:rsidR="00894EB3">
          <w:rPr>
            <w:webHidden/>
          </w:rPr>
          <w:t>65</w:t>
        </w:r>
        <w:r w:rsidR="007F09B1">
          <w:rPr>
            <w:webHidden/>
          </w:rPr>
          <w:fldChar w:fldCharType="end"/>
        </w:r>
      </w:hyperlink>
    </w:p>
    <w:p w14:paraId="00611969" w14:textId="1B0F6F4A"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317" w:history="1">
        <w:r w:rsidR="007F09B1" w:rsidRPr="000746F7">
          <w:rPr>
            <w:rStyle w:val="Hyperlink"/>
          </w:rPr>
          <w:t xml:space="preserve">A. </w:t>
        </w:r>
        <w:r w:rsidR="007F09B1" w:rsidRPr="000746F7">
          <w:rPr>
            <w:rStyle w:val="Hyperlink"/>
            <w:lang w:val="bg-BG"/>
          </w:rPr>
          <w:t>Обобщение</w:t>
        </w:r>
        <w:r w:rsidR="007F09B1" w:rsidRPr="000746F7">
          <w:rPr>
            <w:rStyle w:val="Hyperlink"/>
          </w:rPr>
          <w:t xml:space="preserve"> на основните елементи</w:t>
        </w:r>
        <w:r w:rsidR="007F09B1">
          <w:rPr>
            <w:webHidden/>
          </w:rPr>
          <w:tab/>
        </w:r>
        <w:r w:rsidR="007F09B1">
          <w:rPr>
            <w:webHidden/>
          </w:rPr>
          <w:fldChar w:fldCharType="begin"/>
        </w:r>
        <w:r w:rsidR="007F09B1">
          <w:rPr>
            <w:webHidden/>
          </w:rPr>
          <w:instrText xml:space="preserve"> PAGEREF _Toc129599317 \h </w:instrText>
        </w:r>
        <w:r w:rsidR="007F09B1">
          <w:rPr>
            <w:webHidden/>
          </w:rPr>
        </w:r>
        <w:r w:rsidR="007F09B1">
          <w:rPr>
            <w:webHidden/>
          </w:rPr>
          <w:fldChar w:fldCharType="separate"/>
        </w:r>
        <w:r w:rsidR="00894EB3">
          <w:rPr>
            <w:webHidden/>
          </w:rPr>
          <w:t>65</w:t>
        </w:r>
        <w:r w:rsidR="007F09B1">
          <w:rPr>
            <w:webHidden/>
          </w:rPr>
          <w:fldChar w:fldCharType="end"/>
        </w:r>
      </w:hyperlink>
    </w:p>
    <w:p w14:paraId="28187EA1" w14:textId="3A2D3290"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318" w:history="1">
        <w:r w:rsidR="007F09B1" w:rsidRPr="000746F7">
          <w:rPr>
            <w:rStyle w:val="Hyperlink"/>
          </w:rPr>
          <w:t>B. Подробности за вида операция</w:t>
        </w:r>
        <w:r w:rsidR="007F09B1">
          <w:rPr>
            <w:webHidden/>
          </w:rPr>
          <w:tab/>
        </w:r>
        <w:r w:rsidR="007F09B1">
          <w:rPr>
            <w:webHidden/>
          </w:rPr>
          <w:fldChar w:fldCharType="begin"/>
        </w:r>
        <w:r w:rsidR="007F09B1">
          <w:rPr>
            <w:webHidden/>
          </w:rPr>
          <w:instrText xml:space="preserve"> PAGEREF _Toc129599318 \h </w:instrText>
        </w:r>
        <w:r w:rsidR="007F09B1">
          <w:rPr>
            <w:webHidden/>
          </w:rPr>
        </w:r>
        <w:r w:rsidR="007F09B1">
          <w:rPr>
            <w:webHidden/>
          </w:rPr>
          <w:fldChar w:fldCharType="separate"/>
        </w:r>
        <w:r w:rsidR="00894EB3">
          <w:rPr>
            <w:webHidden/>
          </w:rPr>
          <w:t>66</w:t>
        </w:r>
        <w:r w:rsidR="007F09B1">
          <w:rPr>
            <w:webHidden/>
          </w:rPr>
          <w:fldChar w:fldCharType="end"/>
        </w:r>
      </w:hyperlink>
    </w:p>
    <w:p w14:paraId="4EBEA3C8" w14:textId="72F99F7E"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319" w:history="1">
        <w:r w:rsidR="007F09B1" w:rsidRPr="000746F7">
          <w:rPr>
            <w:rStyle w:val="Hyperlink"/>
          </w:rPr>
          <w:t>C. Изчисляване на стандартната таблица на единичните разходи, еднократните суми</w:t>
        </w:r>
        <w:r w:rsidR="007F09B1" w:rsidRPr="000746F7">
          <w:rPr>
            <w:rStyle w:val="Hyperlink"/>
            <w:lang w:val="bg-BG"/>
          </w:rPr>
          <w:t xml:space="preserve"> </w:t>
        </w:r>
        <w:r w:rsidR="007F09B1" w:rsidRPr="000746F7">
          <w:rPr>
            <w:rStyle w:val="Hyperlink"/>
          </w:rPr>
          <w:t>или единните ставки</w:t>
        </w:r>
        <w:r w:rsidR="007F09B1">
          <w:rPr>
            <w:webHidden/>
          </w:rPr>
          <w:tab/>
        </w:r>
        <w:r w:rsidR="007F09B1">
          <w:rPr>
            <w:webHidden/>
          </w:rPr>
          <w:fldChar w:fldCharType="begin"/>
        </w:r>
        <w:r w:rsidR="007F09B1">
          <w:rPr>
            <w:webHidden/>
          </w:rPr>
          <w:instrText xml:space="preserve"> PAGEREF _Toc129599319 \h </w:instrText>
        </w:r>
        <w:r w:rsidR="007F09B1">
          <w:rPr>
            <w:webHidden/>
          </w:rPr>
        </w:r>
        <w:r w:rsidR="007F09B1">
          <w:rPr>
            <w:webHidden/>
          </w:rPr>
          <w:fldChar w:fldCharType="separate"/>
        </w:r>
        <w:r w:rsidR="00894EB3">
          <w:rPr>
            <w:webHidden/>
          </w:rPr>
          <w:t>67</w:t>
        </w:r>
        <w:r w:rsidR="007F09B1">
          <w:rPr>
            <w:webHidden/>
          </w:rPr>
          <w:fldChar w:fldCharType="end"/>
        </w:r>
      </w:hyperlink>
    </w:p>
    <w:p w14:paraId="029E07DA" w14:textId="6D68952A"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320" w:history="1">
        <w:r w:rsidR="007F09B1" w:rsidRPr="000746F7">
          <w:rPr>
            <w:rStyle w:val="Hyperlink"/>
          </w:rPr>
          <w:t>1. Източник на данните, използвани за изчисляване на стандартната таблица на</w:t>
        </w:r>
        <w:r w:rsidR="007F09B1" w:rsidRPr="000746F7">
          <w:rPr>
            <w:rStyle w:val="Hyperlink"/>
            <w:lang w:val="bg-BG"/>
          </w:rPr>
          <w:t xml:space="preserve"> единичните разходи, еднократните суми или единните ставки (кой е генерирал, събрал и записал данните; къде се съхраняват данните; крайни срокове; валидиране </w:t>
        </w:r>
        <w:r w:rsidR="007F09B1" w:rsidRPr="000746F7">
          <w:rPr>
            <w:rStyle w:val="Hyperlink"/>
          </w:rPr>
          <w:t>и др.)</w:t>
        </w:r>
        <w:r w:rsidR="007F09B1">
          <w:rPr>
            <w:webHidden/>
          </w:rPr>
          <w:tab/>
        </w:r>
        <w:r w:rsidR="007F09B1">
          <w:rPr>
            <w:webHidden/>
          </w:rPr>
          <w:fldChar w:fldCharType="begin"/>
        </w:r>
        <w:r w:rsidR="007F09B1">
          <w:rPr>
            <w:webHidden/>
          </w:rPr>
          <w:instrText xml:space="preserve"> PAGEREF _Toc129599320 \h </w:instrText>
        </w:r>
        <w:r w:rsidR="007F09B1">
          <w:rPr>
            <w:webHidden/>
          </w:rPr>
        </w:r>
        <w:r w:rsidR="007F09B1">
          <w:rPr>
            <w:webHidden/>
          </w:rPr>
          <w:fldChar w:fldCharType="separate"/>
        </w:r>
        <w:r w:rsidR="00894EB3">
          <w:rPr>
            <w:webHidden/>
          </w:rPr>
          <w:t>67</w:t>
        </w:r>
        <w:r w:rsidR="007F09B1">
          <w:rPr>
            <w:webHidden/>
          </w:rPr>
          <w:fldChar w:fldCharType="end"/>
        </w:r>
      </w:hyperlink>
    </w:p>
    <w:p w14:paraId="039FE1A8" w14:textId="602F57C7"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321" w:history="1">
        <w:r w:rsidR="007F09B1" w:rsidRPr="000746F7">
          <w:rPr>
            <w:rStyle w:val="Hyperlink"/>
          </w:rPr>
          <w:t>2. Моля, уточнете защо предложеният метод и изчисление въз основа на член 94,</w:t>
        </w:r>
        <w:r w:rsidR="007F09B1" w:rsidRPr="000746F7">
          <w:rPr>
            <w:rStyle w:val="Hyperlink"/>
            <w:lang w:val="bg-BG"/>
          </w:rPr>
          <w:t xml:space="preserve"> параграф 2 от РОР са подходящи за този вид операция.</w:t>
        </w:r>
        <w:r w:rsidR="007F09B1">
          <w:rPr>
            <w:webHidden/>
          </w:rPr>
          <w:tab/>
        </w:r>
        <w:r w:rsidR="007F09B1">
          <w:rPr>
            <w:webHidden/>
          </w:rPr>
          <w:fldChar w:fldCharType="begin"/>
        </w:r>
        <w:r w:rsidR="007F09B1">
          <w:rPr>
            <w:webHidden/>
          </w:rPr>
          <w:instrText xml:space="preserve"> PAGEREF _Toc129599321 \h </w:instrText>
        </w:r>
        <w:r w:rsidR="007F09B1">
          <w:rPr>
            <w:webHidden/>
          </w:rPr>
        </w:r>
        <w:r w:rsidR="007F09B1">
          <w:rPr>
            <w:webHidden/>
          </w:rPr>
          <w:fldChar w:fldCharType="separate"/>
        </w:r>
        <w:r w:rsidR="00894EB3">
          <w:rPr>
            <w:webHidden/>
          </w:rPr>
          <w:t>68</w:t>
        </w:r>
        <w:r w:rsidR="007F09B1">
          <w:rPr>
            <w:webHidden/>
          </w:rPr>
          <w:fldChar w:fldCharType="end"/>
        </w:r>
      </w:hyperlink>
    </w:p>
    <w:p w14:paraId="27A0AB00" w14:textId="13476050"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322" w:history="1">
        <w:r w:rsidR="007F09B1" w:rsidRPr="000746F7">
          <w:rPr>
            <w:rStyle w:val="Hyperlink"/>
            <w:lang w:val="bg-BG"/>
          </w:rPr>
          <w:t>3. Моля, посочете как са били направени изчисленията, включително и допускането по отношение на качеството или количествата. Когато е приложимо, следва да се използват статистически данни и референтни стойности, ако такива бъдат поискани, във формат, позволяващ употребата им от Комисията.</w:t>
        </w:r>
        <w:r w:rsidR="007F09B1">
          <w:rPr>
            <w:webHidden/>
          </w:rPr>
          <w:tab/>
        </w:r>
        <w:r w:rsidR="007F09B1">
          <w:rPr>
            <w:webHidden/>
          </w:rPr>
          <w:fldChar w:fldCharType="begin"/>
        </w:r>
        <w:r w:rsidR="007F09B1">
          <w:rPr>
            <w:webHidden/>
          </w:rPr>
          <w:instrText xml:space="preserve"> PAGEREF _Toc129599322 \h </w:instrText>
        </w:r>
        <w:r w:rsidR="007F09B1">
          <w:rPr>
            <w:webHidden/>
          </w:rPr>
        </w:r>
        <w:r w:rsidR="007F09B1">
          <w:rPr>
            <w:webHidden/>
          </w:rPr>
          <w:fldChar w:fldCharType="separate"/>
        </w:r>
        <w:r w:rsidR="00894EB3">
          <w:rPr>
            <w:webHidden/>
          </w:rPr>
          <w:t>69</w:t>
        </w:r>
        <w:r w:rsidR="007F09B1">
          <w:rPr>
            <w:webHidden/>
          </w:rPr>
          <w:fldChar w:fldCharType="end"/>
        </w:r>
      </w:hyperlink>
    </w:p>
    <w:p w14:paraId="59CCD59D" w14:textId="34468992"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323" w:history="1">
        <w:r w:rsidR="007F09B1" w:rsidRPr="000746F7">
          <w:rPr>
            <w:rStyle w:val="Hyperlink"/>
            <w:lang w:val="bg-BG"/>
          </w:rPr>
          <w:t>4. Моля, обяснете как сте гарантирали, че само допустимите разходи са включени в изчислението на стандартната таблица на единичните разходи, еднократните суми или единните ставки.</w:t>
        </w:r>
        <w:r w:rsidR="007F09B1">
          <w:rPr>
            <w:webHidden/>
          </w:rPr>
          <w:tab/>
        </w:r>
        <w:r w:rsidR="007F09B1">
          <w:rPr>
            <w:webHidden/>
          </w:rPr>
          <w:fldChar w:fldCharType="begin"/>
        </w:r>
        <w:r w:rsidR="007F09B1">
          <w:rPr>
            <w:webHidden/>
          </w:rPr>
          <w:instrText xml:space="preserve"> PAGEREF _Toc129599323 \h </w:instrText>
        </w:r>
        <w:r w:rsidR="007F09B1">
          <w:rPr>
            <w:webHidden/>
          </w:rPr>
        </w:r>
        <w:r w:rsidR="007F09B1">
          <w:rPr>
            <w:webHidden/>
          </w:rPr>
          <w:fldChar w:fldCharType="separate"/>
        </w:r>
        <w:r w:rsidR="00894EB3">
          <w:rPr>
            <w:webHidden/>
          </w:rPr>
          <w:t>70</w:t>
        </w:r>
        <w:r w:rsidR="007F09B1">
          <w:rPr>
            <w:webHidden/>
          </w:rPr>
          <w:fldChar w:fldCharType="end"/>
        </w:r>
      </w:hyperlink>
    </w:p>
    <w:p w14:paraId="222BC297" w14:textId="11187BD6" w:rsidR="007F09B1" w:rsidRDefault="00DA6815">
      <w:pPr>
        <w:pStyle w:val="TOC4"/>
        <w:tabs>
          <w:tab w:val="right" w:leader="dot" w:pos="10240"/>
        </w:tabs>
        <w:rPr>
          <w:rFonts w:asciiTheme="minorHAnsi" w:eastAsiaTheme="minorEastAsia" w:hAnsiTheme="minorHAnsi" w:cstheme="minorBidi"/>
          <w:sz w:val="22"/>
          <w:szCs w:val="22"/>
          <w:lang w:val="bg-BG" w:eastAsia="bg-BG"/>
        </w:rPr>
      </w:pPr>
      <w:hyperlink w:anchor="_Toc129599324" w:history="1">
        <w:r w:rsidR="007F09B1" w:rsidRPr="000746F7">
          <w:rPr>
            <w:rStyle w:val="Hyperlink"/>
            <w:lang w:val="bg-BG"/>
          </w:rPr>
          <w:t>5. Оценка на одитния(те) орган(и) на методиката на изчисление и на размера, както и на механизмите, осигуряващи проверката, качеството, събирането и съхранението на данните.</w:t>
        </w:r>
        <w:r w:rsidR="007F09B1">
          <w:rPr>
            <w:webHidden/>
          </w:rPr>
          <w:tab/>
        </w:r>
        <w:r w:rsidR="007F09B1">
          <w:rPr>
            <w:webHidden/>
          </w:rPr>
          <w:fldChar w:fldCharType="begin"/>
        </w:r>
        <w:r w:rsidR="007F09B1">
          <w:rPr>
            <w:webHidden/>
          </w:rPr>
          <w:instrText xml:space="preserve"> PAGEREF _Toc129599324 \h </w:instrText>
        </w:r>
        <w:r w:rsidR="007F09B1">
          <w:rPr>
            <w:webHidden/>
          </w:rPr>
        </w:r>
        <w:r w:rsidR="007F09B1">
          <w:rPr>
            <w:webHidden/>
          </w:rPr>
          <w:fldChar w:fldCharType="separate"/>
        </w:r>
        <w:r w:rsidR="00894EB3">
          <w:rPr>
            <w:webHidden/>
          </w:rPr>
          <w:t>71</w:t>
        </w:r>
        <w:r w:rsidR="007F09B1">
          <w:rPr>
            <w:webHidden/>
          </w:rPr>
          <w:fldChar w:fldCharType="end"/>
        </w:r>
      </w:hyperlink>
    </w:p>
    <w:p w14:paraId="03D4CEDC" w14:textId="73537364" w:rsidR="007F09B1" w:rsidRDefault="00DA6815">
      <w:pPr>
        <w:pStyle w:val="TOC1"/>
        <w:tabs>
          <w:tab w:val="right" w:leader="dot" w:pos="10240"/>
        </w:tabs>
        <w:rPr>
          <w:rFonts w:asciiTheme="minorHAnsi" w:eastAsiaTheme="minorEastAsia" w:hAnsiTheme="minorHAnsi" w:cstheme="minorBidi"/>
          <w:sz w:val="22"/>
          <w:szCs w:val="22"/>
          <w:lang w:val="bg-BG" w:eastAsia="bg-BG"/>
        </w:rPr>
      </w:pPr>
      <w:hyperlink w:anchor="_Toc129599325" w:history="1">
        <w:r w:rsidR="007F09B1" w:rsidRPr="000746F7">
          <w:rPr>
            <w:rStyle w:val="Hyperlink"/>
            <w:lang w:val="bg-BG"/>
          </w:rPr>
          <w:t>Допълнение 2: Финансово участие на Съюза на основата на финансиране, което не е свързано с разходите</w:t>
        </w:r>
        <w:r w:rsidR="007F09B1">
          <w:rPr>
            <w:webHidden/>
          </w:rPr>
          <w:tab/>
        </w:r>
        <w:r w:rsidR="007F09B1">
          <w:rPr>
            <w:webHidden/>
          </w:rPr>
          <w:fldChar w:fldCharType="begin"/>
        </w:r>
        <w:r w:rsidR="007F09B1">
          <w:rPr>
            <w:webHidden/>
          </w:rPr>
          <w:instrText xml:space="preserve"> PAGEREF _Toc129599325 \h </w:instrText>
        </w:r>
        <w:r w:rsidR="007F09B1">
          <w:rPr>
            <w:webHidden/>
          </w:rPr>
        </w:r>
        <w:r w:rsidR="007F09B1">
          <w:rPr>
            <w:webHidden/>
          </w:rPr>
          <w:fldChar w:fldCharType="separate"/>
        </w:r>
        <w:r w:rsidR="00894EB3">
          <w:rPr>
            <w:webHidden/>
          </w:rPr>
          <w:t>72</w:t>
        </w:r>
        <w:r w:rsidR="007F09B1">
          <w:rPr>
            <w:webHidden/>
          </w:rPr>
          <w:fldChar w:fldCharType="end"/>
        </w:r>
      </w:hyperlink>
    </w:p>
    <w:p w14:paraId="161083A6" w14:textId="637EBB70"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326" w:history="1">
        <w:r w:rsidR="007F09B1" w:rsidRPr="000746F7">
          <w:rPr>
            <w:rStyle w:val="Hyperlink"/>
          </w:rPr>
          <w:t>A</w:t>
        </w:r>
        <w:r w:rsidR="007F09B1" w:rsidRPr="000746F7">
          <w:rPr>
            <w:rStyle w:val="Hyperlink"/>
            <w:lang w:val="bg-BG"/>
          </w:rPr>
          <w:t>. Обобщение на основните елементи</w:t>
        </w:r>
        <w:r w:rsidR="007F09B1">
          <w:rPr>
            <w:webHidden/>
          </w:rPr>
          <w:tab/>
        </w:r>
        <w:r w:rsidR="007F09B1">
          <w:rPr>
            <w:webHidden/>
          </w:rPr>
          <w:fldChar w:fldCharType="begin"/>
        </w:r>
        <w:r w:rsidR="007F09B1">
          <w:rPr>
            <w:webHidden/>
          </w:rPr>
          <w:instrText xml:space="preserve"> PAGEREF _Toc129599326 \h </w:instrText>
        </w:r>
        <w:r w:rsidR="007F09B1">
          <w:rPr>
            <w:webHidden/>
          </w:rPr>
        </w:r>
        <w:r w:rsidR="007F09B1">
          <w:rPr>
            <w:webHidden/>
          </w:rPr>
          <w:fldChar w:fldCharType="separate"/>
        </w:r>
        <w:r w:rsidR="00894EB3">
          <w:rPr>
            <w:webHidden/>
          </w:rPr>
          <w:t>72</w:t>
        </w:r>
        <w:r w:rsidR="007F09B1">
          <w:rPr>
            <w:webHidden/>
          </w:rPr>
          <w:fldChar w:fldCharType="end"/>
        </w:r>
      </w:hyperlink>
    </w:p>
    <w:p w14:paraId="129733DA" w14:textId="0FE99820"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327" w:history="1">
        <w:r w:rsidR="007F09B1" w:rsidRPr="000746F7">
          <w:rPr>
            <w:rStyle w:val="Hyperlink"/>
          </w:rPr>
          <w:t>B. Подробности по видове операции</w:t>
        </w:r>
        <w:r w:rsidR="007F09B1">
          <w:rPr>
            <w:webHidden/>
          </w:rPr>
          <w:tab/>
        </w:r>
        <w:r w:rsidR="007F09B1">
          <w:rPr>
            <w:webHidden/>
          </w:rPr>
          <w:fldChar w:fldCharType="begin"/>
        </w:r>
        <w:r w:rsidR="007F09B1">
          <w:rPr>
            <w:webHidden/>
          </w:rPr>
          <w:instrText xml:space="preserve"> PAGEREF _Toc129599327 \h </w:instrText>
        </w:r>
        <w:r w:rsidR="007F09B1">
          <w:rPr>
            <w:webHidden/>
          </w:rPr>
        </w:r>
        <w:r w:rsidR="007F09B1">
          <w:rPr>
            <w:webHidden/>
          </w:rPr>
          <w:fldChar w:fldCharType="separate"/>
        </w:r>
        <w:r w:rsidR="00894EB3">
          <w:rPr>
            <w:webHidden/>
          </w:rPr>
          <w:t>73</w:t>
        </w:r>
        <w:r w:rsidR="007F09B1">
          <w:rPr>
            <w:webHidden/>
          </w:rPr>
          <w:fldChar w:fldCharType="end"/>
        </w:r>
      </w:hyperlink>
    </w:p>
    <w:p w14:paraId="4DACDCAE" w14:textId="0F7DAE56" w:rsidR="007F09B1" w:rsidRDefault="00DA6815">
      <w:pPr>
        <w:pStyle w:val="TOC1"/>
        <w:tabs>
          <w:tab w:val="right" w:leader="dot" w:pos="10240"/>
        </w:tabs>
        <w:rPr>
          <w:rFonts w:asciiTheme="minorHAnsi" w:eastAsiaTheme="minorEastAsia" w:hAnsiTheme="minorHAnsi" w:cstheme="minorBidi"/>
          <w:sz w:val="22"/>
          <w:szCs w:val="22"/>
          <w:lang w:val="bg-BG" w:eastAsia="bg-BG"/>
        </w:rPr>
      </w:pPr>
      <w:hyperlink w:anchor="_Toc129599328" w:history="1">
        <w:r w:rsidR="007F09B1" w:rsidRPr="000746F7">
          <w:rPr>
            <w:rStyle w:val="Hyperlink"/>
          </w:rPr>
          <w:t>Допълнение 3</w:t>
        </w:r>
        <w:r w:rsidR="007F09B1">
          <w:rPr>
            <w:webHidden/>
          </w:rPr>
          <w:tab/>
        </w:r>
        <w:r w:rsidR="007F09B1">
          <w:rPr>
            <w:webHidden/>
          </w:rPr>
          <w:fldChar w:fldCharType="begin"/>
        </w:r>
        <w:r w:rsidR="007F09B1">
          <w:rPr>
            <w:webHidden/>
          </w:rPr>
          <w:instrText xml:space="preserve"> PAGEREF _Toc129599328 \h </w:instrText>
        </w:r>
        <w:r w:rsidR="007F09B1">
          <w:rPr>
            <w:webHidden/>
          </w:rPr>
        </w:r>
        <w:r w:rsidR="007F09B1">
          <w:rPr>
            <w:webHidden/>
          </w:rPr>
          <w:fldChar w:fldCharType="separate"/>
        </w:r>
        <w:r w:rsidR="00894EB3">
          <w:rPr>
            <w:webHidden/>
          </w:rPr>
          <w:t>74</w:t>
        </w:r>
        <w:r w:rsidR="007F09B1">
          <w:rPr>
            <w:webHidden/>
          </w:rPr>
          <w:fldChar w:fldCharType="end"/>
        </w:r>
      </w:hyperlink>
    </w:p>
    <w:p w14:paraId="7B9AD8AC" w14:textId="6395E13F" w:rsidR="007F09B1" w:rsidRDefault="00DA6815">
      <w:pPr>
        <w:pStyle w:val="TOC2"/>
        <w:tabs>
          <w:tab w:val="right" w:leader="dot" w:pos="10240"/>
        </w:tabs>
        <w:rPr>
          <w:rFonts w:asciiTheme="minorHAnsi" w:eastAsiaTheme="minorEastAsia" w:hAnsiTheme="minorHAnsi" w:cstheme="minorBidi"/>
          <w:sz w:val="22"/>
          <w:szCs w:val="22"/>
          <w:lang w:val="bg-BG" w:eastAsia="bg-BG"/>
        </w:rPr>
      </w:pPr>
      <w:hyperlink w:anchor="_Toc129599329" w:history="1">
        <w:r w:rsidR="007F09B1" w:rsidRPr="000746F7">
          <w:rPr>
            <w:rStyle w:val="Hyperlink"/>
          </w:rPr>
          <w:t>Тематичен механизъм</w:t>
        </w:r>
        <w:r w:rsidR="007F09B1">
          <w:rPr>
            <w:webHidden/>
          </w:rPr>
          <w:tab/>
        </w:r>
        <w:r w:rsidR="007F09B1">
          <w:rPr>
            <w:webHidden/>
          </w:rPr>
          <w:fldChar w:fldCharType="begin"/>
        </w:r>
        <w:r w:rsidR="007F09B1">
          <w:rPr>
            <w:webHidden/>
          </w:rPr>
          <w:instrText xml:space="preserve"> PAGEREF _Toc129599329 \h </w:instrText>
        </w:r>
        <w:r w:rsidR="007F09B1">
          <w:rPr>
            <w:webHidden/>
          </w:rPr>
        </w:r>
        <w:r w:rsidR="007F09B1">
          <w:rPr>
            <w:webHidden/>
          </w:rPr>
          <w:fldChar w:fldCharType="separate"/>
        </w:r>
        <w:r w:rsidR="00894EB3">
          <w:rPr>
            <w:webHidden/>
          </w:rPr>
          <w:t>74</w:t>
        </w:r>
        <w:r w:rsidR="007F09B1">
          <w:rPr>
            <w:webHidden/>
          </w:rPr>
          <w:fldChar w:fldCharType="end"/>
        </w:r>
      </w:hyperlink>
    </w:p>
    <w:p w14:paraId="7E773A0A" w14:textId="07EF1D16" w:rsidR="007F09B1" w:rsidRDefault="00DA6815">
      <w:pPr>
        <w:pStyle w:val="TOC1"/>
        <w:tabs>
          <w:tab w:val="right" w:leader="dot" w:pos="10240"/>
        </w:tabs>
        <w:rPr>
          <w:rFonts w:asciiTheme="minorHAnsi" w:eastAsiaTheme="minorEastAsia" w:hAnsiTheme="minorHAnsi" w:cstheme="minorBidi"/>
          <w:sz w:val="22"/>
          <w:szCs w:val="22"/>
          <w:lang w:val="bg-BG" w:eastAsia="bg-BG"/>
        </w:rPr>
      </w:pPr>
      <w:hyperlink w:anchor="_Toc129599330" w:history="1">
        <w:r w:rsidR="007F09B1" w:rsidRPr="000746F7">
          <w:rPr>
            <w:rStyle w:val="Hyperlink"/>
            <w:lang w:val="bg-BG"/>
          </w:rPr>
          <w:t>Документи</w:t>
        </w:r>
        <w:r w:rsidR="007F09B1">
          <w:rPr>
            <w:webHidden/>
          </w:rPr>
          <w:tab/>
        </w:r>
        <w:r w:rsidR="007F09B1">
          <w:rPr>
            <w:webHidden/>
          </w:rPr>
          <w:fldChar w:fldCharType="begin"/>
        </w:r>
        <w:r w:rsidR="007F09B1">
          <w:rPr>
            <w:webHidden/>
          </w:rPr>
          <w:instrText xml:space="preserve"> PAGEREF _Toc129599330 \h </w:instrText>
        </w:r>
        <w:r w:rsidR="007F09B1">
          <w:rPr>
            <w:webHidden/>
          </w:rPr>
        </w:r>
        <w:r w:rsidR="007F09B1">
          <w:rPr>
            <w:webHidden/>
          </w:rPr>
          <w:fldChar w:fldCharType="separate"/>
        </w:r>
        <w:r w:rsidR="00894EB3">
          <w:rPr>
            <w:webHidden/>
          </w:rPr>
          <w:t>75</w:t>
        </w:r>
        <w:r w:rsidR="007F09B1">
          <w:rPr>
            <w:webHidden/>
          </w:rPr>
          <w:fldChar w:fldCharType="end"/>
        </w:r>
      </w:hyperlink>
    </w:p>
    <w:p w14:paraId="3EFA7FB4" w14:textId="77777777" w:rsidR="00A77B3E" w:rsidRPr="00FB5D9F" w:rsidRDefault="00E62050">
      <w:pPr>
        <w:pStyle w:val="Heading1"/>
        <w:rPr>
          <w:rFonts w:ascii="Times New Roman" w:hAnsi="Times New Roman" w:cs="Times New Roman"/>
          <w:b w:val="0"/>
          <w:color w:val="000000"/>
          <w:sz w:val="24"/>
          <w:lang w:val="bg-BG"/>
        </w:rPr>
      </w:pPr>
      <w:r>
        <w:rPr>
          <w:rFonts w:ascii="Times New Roman" w:hAnsi="Times New Roman" w:cs="Times New Roman"/>
          <w:b w:val="0"/>
          <w:color w:val="000000"/>
          <w:sz w:val="24"/>
        </w:rPr>
        <w:fldChar w:fldCharType="end"/>
      </w:r>
      <w:r w:rsidRPr="00FB5D9F">
        <w:rPr>
          <w:rFonts w:ascii="Times New Roman" w:hAnsi="Times New Roman" w:cs="Times New Roman"/>
          <w:b w:val="0"/>
          <w:color w:val="000000"/>
          <w:sz w:val="24"/>
          <w:lang w:val="bg-BG"/>
        </w:rPr>
        <w:br w:type="page"/>
      </w:r>
      <w:bookmarkStart w:id="0" w:name="_Toc129599274"/>
      <w:r w:rsidRPr="00FB5D9F">
        <w:rPr>
          <w:rFonts w:ascii="Times New Roman" w:hAnsi="Times New Roman" w:cs="Times New Roman"/>
          <w:b w:val="0"/>
          <w:color w:val="000000"/>
          <w:sz w:val="24"/>
          <w:lang w:val="bg-BG"/>
        </w:rPr>
        <w:lastRenderedPageBreak/>
        <w:t xml:space="preserve">1. </w:t>
      </w:r>
      <w:r w:rsidR="000579C9" w:rsidRPr="00FB5D9F">
        <w:rPr>
          <w:rFonts w:ascii="Times New Roman" w:hAnsi="Times New Roman" w:cs="Times New Roman"/>
          <w:b w:val="0"/>
          <w:color w:val="000000"/>
          <w:sz w:val="24"/>
          <w:lang w:val="bg-BG"/>
        </w:rPr>
        <w:t xml:space="preserve">Програмна стратегия: основни предизвикателства и </w:t>
      </w:r>
      <w:r w:rsidR="008641CF" w:rsidRPr="008641CF">
        <w:rPr>
          <w:rFonts w:ascii="Times New Roman" w:hAnsi="Times New Roman" w:cs="Times New Roman"/>
          <w:b w:val="0"/>
          <w:color w:val="000000"/>
          <w:sz w:val="24"/>
          <w:lang w:val="bg-BG"/>
        </w:rPr>
        <w:t>отговори на политиката</w:t>
      </w:r>
      <w:bookmarkEnd w:id="0"/>
    </w:p>
    <w:p w14:paraId="2B01EFCA" w14:textId="77777777" w:rsidR="00A77B3E" w:rsidRPr="00FB5D9F" w:rsidRDefault="000579C9">
      <w:pPr>
        <w:rPr>
          <w:color w:val="000000"/>
          <w:lang w:val="bg-BG"/>
        </w:rPr>
      </w:pPr>
      <w:r w:rsidRPr="00FB5D9F">
        <w:rPr>
          <w:color w:val="000000"/>
          <w:lang w:val="bg-BG"/>
        </w:rPr>
        <w:t xml:space="preserve">Основание: член 22, параграф 3, буква а), точки </w:t>
      </w:r>
      <w:r w:rsidRPr="000579C9">
        <w:rPr>
          <w:color w:val="000000"/>
        </w:rPr>
        <w:t>iii</w:t>
      </w:r>
      <w:r w:rsidRPr="00FB5D9F">
        <w:rPr>
          <w:color w:val="000000"/>
          <w:lang w:val="bg-BG"/>
        </w:rPr>
        <w:t xml:space="preserve">), </w:t>
      </w:r>
      <w:r w:rsidRPr="000579C9">
        <w:rPr>
          <w:color w:val="000000"/>
        </w:rPr>
        <w:t>iv</w:t>
      </w:r>
      <w:r w:rsidRPr="00FB5D9F">
        <w:rPr>
          <w:color w:val="000000"/>
          <w:lang w:val="bg-BG"/>
        </w:rPr>
        <w:t xml:space="preserve">), </w:t>
      </w:r>
      <w:r w:rsidRPr="000579C9">
        <w:rPr>
          <w:color w:val="000000"/>
        </w:rPr>
        <w:t>v</w:t>
      </w:r>
      <w:r w:rsidRPr="00FB5D9F">
        <w:rPr>
          <w:color w:val="000000"/>
          <w:lang w:val="bg-BG"/>
        </w:rPr>
        <w:t xml:space="preserve">) и </w:t>
      </w:r>
      <w:r w:rsidRPr="000579C9">
        <w:rPr>
          <w:color w:val="000000"/>
        </w:rPr>
        <w:t>ix</w:t>
      </w:r>
      <w:r w:rsidRPr="00FB5D9F">
        <w:rPr>
          <w:color w:val="000000"/>
          <w:lang w:val="bg-BG"/>
        </w:rPr>
        <w:t>) от Регламент (ЕС) 2021/1060 (РОР)</w:t>
      </w:r>
    </w:p>
    <w:p w14:paraId="0458D23B" w14:textId="77777777" w:rsidR="000579C9" w:rsidRPr="00FB5D9F" w:rsidRDefault="000579C9">
      <w:pPr>
        <w:rPr>
          <w:color w:val="000000"/>
          <w:sz w:val="1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2F6D49" w:rsidRPr="00805365" w14:paraId="6398FFB5" w14:textId="77777777">
        <w:trPr>
          <w:trHeight w:val="240"/>
        </w:trPr>
        <w:tc>
          <w:tcPr>
            <w:tcW w:w="5000" w:type="pct"/>
            <w:tcBorders>
              <w:top w:val="single" w:sz="4" w:space="0" w:color="auto"/>
              <w:left w:val="single" w:sz="4" w:space="0" w:color="auto"/>
              <w:bottom w:val="single" w:sz="4" w:space="0" w:color="auto"/>
              <w:right w:val="single" w:sz="4" w:space="0" w:color="auto"/>
            </w:tcBorders>
            <w:tcMar>
              <w:left w:w="100" w:type="dxa"/>
              <w:right w:w="100" w:type="dxa"/>
            </w:tcMar>
          </w:tcPr>
          <w:p w14:paraId="5E85DD99" w14:textId="77777777" w:rsidR="00A77B3E" w:rsidRPr="00FB5D9F" w:rsidRDefault="00A77B3E">
            <w:pPr>
              <w:rPr>
                <w:color w:val="000000"/>
                <w:sz w:val="0"/>
                <w:lang w:val="bg-BG"/>
              </w:rPr>
            </w:pPr>
          </w:p>
          <w:p w14:paraId="50933150" w14:textId="77777777" w:rsidR="000579C9" w:rsidRPr="00FB5D9F" w:rsidRDefault="000579C9" w:rsidP="000579C9">
            <w:pPr>
              <w:spacing w:before="60" w:after="60"/>
              <w:jc w:val="both"/>
              <w:rPr>
                <w:b/>
                <w:lang w:val="bg-BG"/>
              </w:rPr>
            </w:pPr>
            <w:r w:rsidRPr="00FB5D9F">
              <w:rPr>
                <w:b/>
                <w:lang w:val="bg-BG"/>
              </w:rPr>
              <w:t xml:space="preserve">Текущо развитие и първоначално състояние </w:t>
            </w:r>
          </w:p>
          <w:p w14:paraId="39D7B822" w14:textId="77777777" w:rsidR="000579C9" w:rsidRPr="00FB5D9F" w:rsidRDefault="000579C9" w:rsidP="000579C9">
            <w:pPr>
              <w:spacing w:before="60" w:after="60"/>
              <w:jc w:val="both"/>
              <w:rPr>
                <w:lang w:val="bg-BG"/>
              </w:rPr>
            </w:pPr>
            <w:r w:rsidRPr="00FB5D9F">
              <w:rPr>
                <w:lang w:val="bg-BG"/>
              </w:rPr>
              <w:t>Географското разположение на България като външна граница на Европейския съюз (ЕС) я прави част от маршрутите на чуждестранните бойци и от един от най-интензивните миграционни пътища - Източното Средиземноморие. Това поставя вътрешната сигурност на страната под влиянието на съществуващите кризи в региона на Близкия изток и Северна Африка.</w:t>
            </w:r>
          </w:p>
          <w:p w14:paraId="23BFC3AD" w14:textId="77777777" w:rsidR="000579C9" w:rsidRPr="00FB5D9F" w:rsidRDefault="000579C9" w:rsidP="000579C9">
            <w:pPr>
              <w:spacing w:before="60" w:after="60"/>
              <w:jc w:val="both"/>
              <w:rPr>
                <w:lang w:val="bg-BG"/>
              </w:rPr>
            </w:pPr>
            <w:r w:rsidRPr="00FB5D9F">
              <w:rPr>
                <w:lang w:val="bg-BG"/>
              </w:rPr>
              <w:t>Инфилтрирането на лица с терористична идеология в миграционния поток остава постоянен риск.</w:t>
            </w:r>
          </w:p>
          <w:p w14:paraId="0EC276BA" w14:textId="77777777" w:rsidR="000579C9" w:rsidRPr="00FB5D9F" w:rsidRDefault="000579C9" w:rsidP="000579C9">
            <w:pPr>
              <w:spacing w:before="60" w:after="60"/>
              <w:jc w:val="both"/>
              <w:rPr>
                <w:lang w:val="bg-BG"/>
              </w:rPr>
            </w:pPr>
            <w:r w:rsidRPr="00FB5D9F">
              <w:rPr>
                <w:lang w:val="bg-BG"/>
              </w:rPr>
              <w:t>България също е транзитна територия, а в някои случаи и крайна дестинация, за криминални маршрути, използвани от местни, регионални и глобални организирани престъпни групи (ОПГ). Страната е част от „Балканския път“, който е търговски и транспортен коридор между Близкия изток и Европа, използван за трафик на наркотици, хора, оръжие, а така също за превоз на законни и незаконни стоки и активи и на значителни обеми на пари в брой към и от Европа.</w:t>
            </w:r>
          </w:p>
          <w:p w14:paraId="55517DDC" w14:textId="77777777" w:rsidR="000579C9" w:rsidRPr="00FB5D9F" w:rsidRDefault="000579C9" w:rsidP="000579C9">
            <w:pPr>
              <w:spacing w:before="60" w:after="60"/>
              <w:jc w:val="both"/>
              <w:rPr>
                <w:lang w:val="bg-BG"/>
              </w:rPr>
            </w:pPr>
            <w:r w:rsidRPr="00FB5D9F">
              <w:rPr>
                <w:lang w:val="bg-BG"/>
              </w:rPr>
              <w:t>България все още остава предимно държава на произход, но също така се явява транзитна и крайна дестинация за жертви на трафик на хора.</w:t>
            </w:r>
          </w:p>
          <w:p w14:paraId="325634EB" w14:textId="77777777" w:rsidR="000579C9" w:rsidRPr="00FB5D9F" w:rsidRDefault="000579C9" w:rsidP="000579C9">
            <w:pPr>
              <w:spacing w:before="60" w:after="60"/>
              <w:jc w:val="both"/>
              <w:rPr>
                <w:lang w:val="bg-BG"/>
              </w:rPr>
            </w:pPr>
            <w:r w:rsidRPr="00FB5D9F">
              <w:rPr>
                <w:lang w:val="bg-BG"/>
              </w:rPr>
              <w:t>Наблюдават се тенденции към засилване на каналджийството при опитите за незаконно преминаване на държавната граница. През 2018 г. на държавните граници са задържани 2851 лица, през 2019 г. броят е 2184, а през 2020 г. – 3487.</w:t>
            </w:r>
          </w:p>
          <w:p w14:paraId="3038E69A" w14:textId="77777777" w:rsidR="000579C9" w:rsidRPr="00FB5D9F" w:rsidRDefault="000579C9" w:rsidP="000579C9">
            <w:pPr>
              <w:spacing w:before="60" w:after="60"/>
              <w:jc w:val="both"/>
              <w:rPr>
                <w:lang w:val="bg-BG"/>
              </w:rPr>
            </w:pPr>
            <w:r w:rsidRPr="00FB5D9F">
              <w:rPr>
                <w:lang w:val="bg-BG"/>
              </w:rPr>
              <w:t>От 2016 г. насам броят на сигналите за извършени киберпрестъпления се е увеличил 4 пъти.</w:t>
            </w:r>
          </w:p>
          <w:p w14:paraId="11F36383" w14:textId="77777777" w:rsidR="000579C9" w:rsidRPr="00FB5D9F" w:rsidRDefault="000579C9" w:rsidP="000579C9">
            <w:pPr>
              <w:spacing w:before="60" w:after="60"/>
              <w:jc w:val="both"/>
              <w:rPr>
                <w:lang w:val="bg-BG"/>
              </w:rPr>
            </w:pPr>
            <w:r w:rsidRPr="00FB5D9F">
              <w:rPr>
                <w:lang w:val="bg-BG"/>
              </w:rPr>
              <w:t>Различни проучвания и изследвания нареждат България на челните места по отношение на възприемането на корупцията. Доверието в полицията и разходите на бизнес сектора, свързани с превенция или преодоляване на последиците от престъпността, показва липсата на увереност, че полицията е в състояние да прилага законите и да гарантира сигурността и поддържането на обществения ред.</w:t>
            </w:r>
          </w:p>
          <w:p w14:paraId="413D4998" w14:textId="77777777" w:rsidR="000579C9" w:rsidRPr="00FB5D9F" w:rsidRDefault="000579C9" w:rsidP="000579C9">
            <w:pPr>
              <w:spacing w:before="60" w:after="60"/>
              <w:jc w:val="both"/>
              <w:rPr>
                <w:lang w:val="bg-BG"/>
              </w:rPr>
            </w:pPr>
            <w:r w:rsidRPr="00FB5D9F">
              <w:rPr>
                <w:lang w:val="bg-BG"/>
              </w:rPr>
              <w:t>Статистиката за 2019 г. отчита следното:</w:t>
            </w:r>
          </w:p>
          <w:p w14:paraId="673D1E1D" w14:textId="77777777" w:rsidR="000579C9" w:rsidRPr="00FB5D9F" w:rsidRDefault="000579C9" w:rsidP="000579C9">
            <w:pPr>
              <w:spacing w:before="60" w:after="60"/>
              <w:jc w:val="both"/>
              <w:rPr>
                <w:lang w:val="bg-BG"/>
              </w:rPr>
            </w:pPr>
            <w:r w:rsidRPr="00FB5D9F">
              <w:rPr>
                <w:lang w:val="bg-BG"/>
              </w:rPr>
              <w:t>- една от 21 осуетени джихадистки атаки и 11 ареста на терористи (за 2018 г. се отчитат 14 ареста на терористи и едно приключено съдебно производство за терористични престъпления);</w:t>
            </w:r>
          </w:p>
          <w:p w14:paraId="2EB92CD5" w14:textId="77777777" w:rsidR="000579C9" w:rsidRPr="00FB5D9F" w:rsidRDefault="000579C9" w:rsidP="000579C9">
            <w:pPr>
              <w:spacing w:before="60" w:after="60"/>
              <w:jc w:val="both"/>
              <w:rPr>
                <w:lang w:val="bg-BG"/>
              </w:rPr>
            </w:pPr>
            <w:r w:rsidRPr="00FB5D9F">
              <w:rPr>
                <w:lang w:val="bg-BG"/>
              </w:rPr>
              <w:t>- задържани са 43 български и чуждестранни граждани на българска територия, които са участвали в схема за незаконни финансови трансфери от Близкия изток към Западна Европа с цел подпомагане на терористична дейност. Шест лица са с повдигнати обвинения за финансиране на тероризъм;</w:t>
            </w:r>
          </w:p>
          <w:p w14:paraId="10F9A93E" w14:textId="77777777" w:rsidR="000579C9" w:rsidRPr="00FB5D9F" w:rsidRDefault="000579C9" w:rsidP="000579C9">
            <w:pPr>
              <w:spacing w:before="60" w:after="60"/>
              <w:jc w:val="both"/>
              <w:rPr>
                <w:lang w:val="bg-BG"/>
              </w:rPr>
            </w:pPr>
            <w:r w:rsidRPr="00FB5D9F">
              <w:rPr>
                <w:lang w:val="bg-BG"/>
              </w:rPr>
              <w:t>- увеличение с 11% на наблюдаваните ОПГ в сравнение с 2018 г. Най-много са ОПГ, занимаващи се с наркотици, последвани от ОПГ в областта на тероризма. Трафикът на хора, насилствените действия, свързани с лихварството, трафика на наркотици и разпространението и контрабандата на акцизни стоки бяха преобладаващите видове престъпни дейности;</w:t>
            </w:r>
          </w:p>
          <w:p w14:paraId="54DE7C66" w14:textId="77777777" w:rsidR="000579C9" w:rsidRPr="00FB5D9F" w:rsidRDefault="000579C9" w:rsidP="000579C9">
            <w:pPr>
              <w:spacing w:before="60" w:after="60"/>
              <w:jc w:val="both"/>
              <w:rPr>
                <w:lang w:val="bg-BG"/>
              </w:rPr>
            </w:pPr>
            <w:r w:rsidRPr="00FB5D9F">
              <w:rPr>
                <w:lang w:val="bg-BG"/>
              </w:rPr>
              <w:t>- пресечена е дейността на 113 ОПГ - намаление от 6% в сравнение с 2018 г.</w:t>
            </w:r>
          </w:p>
          <w:p w14:paraId="76573CD4" w14:textId="77777777" w:rsidR="000579C9" w:rsidRPr="00FB5D9F" w:rsidRDefault="000579C9" w:rsidP="000579C9">
            <w:pPr>
              <w:spacing w:before="60" w:after="60"/>
              <w:jc w:val="both"/>
              <w:rPr>
                <w:lang w:val="bg-BG"/>
              </w:rPr>
            </w:pPr>
            <w:r w:rsidRPr="00FB5D9F">
              <w:rPr>
                <w:lang w:val="bg-BG"/>
              </w:rPr>
              <w:t>- проведени са разследвания срещу ОПГ по общо 618 досъдебни производства. Новообразуваните производства се увеличиха спрямо 2018 г. 61 следствени дела са образувани от разследващи магистрати. Повдигнати са обвинения на 671 лица;</w:t>
            </w:r>
          </w:p>
          <w:p w14:paraId="0BC580D0" w14:textId="77777777" w:rsidR="000579C9" w:rsidRPr="00FB5D9F" w:rsidRDefault="000579C9" w:rsidP="000579C9">
            <w:pPr>
              <w:spacing w:before="60" w:after="60"/>
              <w:jc w:val="both"/>
              <w:rPr>
                <w:lang w:val="bg-BG"/>
              </w:rPr>
            </w:pPr>
            <w:r w:rsidRPr="00FB5D9F">
              <w:rPr>
                <w:lang w:val="bg-BG"/>
              </w:rPr>
              <w:t>- увеличение с 10% на установените извършители на престъпления с наркотични вещества (3965) в сравнение с 2018 г. (3560), увеличение с 9,5% на регистрираните престъпления, свързани с наркотични вещества (4189) в сравнение с 2018 г. (3737) и леко намаление с 2,17% на регистрираните престъпления с наркотични вещества (5588) в сравнение с 2018 г. (5712);</w:t>
            </w:r>
          </w:p>
          <w:p w14:paraId="32EB5F57" w14:textId="77777777" w:rsidR="000579C9" w:rsidRPr="00FB5D9F" w:rsidRDefault="000579C9" w:rsidP="000579C9">
            <w:pPr>
              <w:spacing w:before="60" w:after="60"/>
              <w:jc w:val="both"/>
              <w:rPr>
                <w:lang w:val="bg-BG"/>
              </w:rPr>
            </w:pPr>
            <w:r w:rsidRPr="00FB5D9F">
              <w:rPr>
                <w:lang w:val="bg-BG"/>
              </w:rPr>
              <w:t>- стабилизиране на тенденцията за увеличаване на броя на досъдебните производства срещу организираната престъпност и за престъпления, свързани с трафика, производството и търговията с наркотични вещества и прекурсори, както и на представените пред съда прокурорски актове и обвиняеми;</w:t>
            </w:r>
          </w:p>
          <w:p w14:paraId="0AB553CA" w14:textId="77777777" w:rsidR="000579C9" w:rsidRPr="00FB5D9F" w:rsidRDefault="000579C9" w:rsidP="000579C9">
            <w:pPr>
              <w:spacing w:before="60" w:after="60"/>
              <w:jc w:val="both"/>
              <w:rPr>
                <w:lang w:val="bg-BG"/>
              </w:rPr>
            </w:pPr>
            <w:r w:rsidRPr="00FB5D9F">
              <w:rPr>
                <w:lang w:val="bg-BG"/>
              </w:rPr>
              <w:t>- увеличение с 68% на броя на наблюдаваните ОПГ за пране на пари и на неутрализираните ОПГ (5) в сравнение с 2018 г.;</w:t>
            </w:r>
          </w:p>
          <w:p w14:paraId="695C3549" w14:textId="77777777" w:rsidR="000579C9" w:rsidRPr="00FB5D9F" w:rsidRDefault="000579C9" w:rsidP="000579C9">
            <w:pPr>
              <w:spacing w:before="60" w:after="60"/>
              <w:jc w:val="both"/>
              <w:rPr>
                <w:lang w:val="bg-BG"/>
              </w:rPr>
            </w:pPr>
            <w:r w:rsidRPr="00FB5D9F">
              <w:rPr>
                <w:lang w:val="bg-BG"/>
              </w:rPr>
              <w:t>-  увеличение с 28% на разследванията в областта на киберпрестъпността в сравнение с 2018 г.;</w:t>
            </w:r>
          </w:p>
          <w:p w14:paraId="1175279C" w14:textId="77777777" w:rsidR="000579C9" w:rsidRPr="00FB5D9F" w:rsidRDefault="000579C9" w:rsidP="000579C9">
            <w:pPr>
              <w:spacing w:before="60" w:after="60"/>
              <w:jc w:val="both"/>
              <w:rPr>
                <w:lang w:val="bg-BG"/>
              </w:rPr>
            </w:pPr>
            <w:r w:rsidRPr="00FB5D9F">
              <w:rPr>
                <w:lang w:val="bg-BG"/>
              </w:rPr>
              <w:lastRenderedPageBreak/>
              <w:t>- относително запазване на нивото на престъпленията, свързани със сексуална и трудова експлоатация поради значителния интерес към подобни „услуги“ в западноевропейските страни. Има увеличение с около 15% в разкриването на престъпни групи в сравнение с 2018 г.;</w:t>
            </w:r>
          </w:p>
          <w:p w14:paraId="567D4956" w14:textId="77777777" w:rsidR="000579C9" w:rsidRPr="00FB5D9F" w:rsidRDefault="000579C9" w:rsidP="000579C9">
            <w:pPr>
              <w:spacing w:before="60" w:after="60"/>
              <w:jc w:val="both"/>
              <w:rPr>
                <w:lang w:val="bg-BG"/>
              </w:rPr>
            </w:pPr>
            <w:r w:rsidRPr="00FB5D9F">
              <w:rPr>
                <w:lang w:val="bg-BG"/>
              </w:rPr>
              <w:t>- увеличение с 15% на проявите, свързани с корупция и злоупотреба с еврофондове в сравнение с 2018 г. Най-голям дял формират ОПГ, занимаващи се с корупция в държавните и местните власти, следвани от системата на здравеопазването, съдебната система и злоупотребата с европейски фондове.</w:t>
            </w:r>
          </w:p>
          <w:p w14:paraId="1F7354E4" w14:textId="77777777" w:rsidR="000579C9" w:rsidRPr="00FB5D9F" w:rsidRDefault="000579C9" w:rsidP="000579C9">
            <w:pPr>
              <w:spacing w:before="60" w:after="60"/>
              <w:jc w:val="both"/>
              <w:rPr>
                <w:b/>
                <w:lang w:val="bg-BG"/>
              </w:rPr>
            </w:pPr>
            <w:r w:rsidRPr="00FB5D9F">
              <w:rPr>
                <w:b/>
                <w:lang w:val="bg-BG"/>
              </w:rPr>
              <w:t>Основни национални стратегически предизвикателства и предприети мерки</w:t>
            </w:r>
          </w:p>
          <w:p w14:paraId="268C70D8" w14:textId="77777777" w:rsidR="000579C9" w:rsidRPr="00FB5D9F" w:rsidRDefault="000579C9" w:rsidP="000579C9">
            <w:pPr>
              <w:spacing w:before="60" w:after="60"/>
              <w:jc w:val="both"/>
              <w:rPr>
                <w:lang w:val="bg-BG"/>
              </w:rPr>
            </w:pPr>
            <w:r w:rsidRPr="00FB5D9F">
              <w:rPr>
                <w:lang w:val="bg-BG"/>
              </w:rPr>
              <w:t>На национално ниво беше приет целенасочен и координиран пакет от законодателни, административни и оперативни мерки за справяне с рисковете и заплахите за сигурността в страната в съответствие със Стратегията за национална сигурност на Република България.</w:t>
            </w:r>
          </w:p>
          <w:p w14:paraId="74D1C2EA" w14:textId="77777777" w:rsidR="000579C9" w:rsidRPr="00FB5D9F" w:rsidRDefault="000579C9" w:rsidP="000579C9">
            <w:pPr>
              <w:spacing w:before="60" w:after="60"/>
              <w:jc w:val="both"/>
              <w:rPr>
                <w:lang w:val="bg-BG"/>
              </w:rPr>
            </w:pPr>
            <w:r w:rsidRPr="00FB5D9F">
              <w:rPr>
                <w:lang w:val="bg-BG"/>
              </w:rPr>
              <w:t>Приети бяха стратегии в областта на превенцията и противодействието на тероризма и радикализацията, наркотиците и трафика на хора. Законите в областта на прането на пари и финансирането на тероризма бяха изменени.</w:t>
            </w:r>
          </w:p>
          <w:p w14:paraId="2E2F90E8" w14:textId="77777777" w:rsidR="000579C9" w:rsidRPr="00FB5D9F" w:rsidRDefault="000579C9" w:rsidP="000579C9">
            <w:pPr>
              <w:spacing w:before="60" w:after="60"/>
              <w:jc w:val="both"/>
              <w:rPr>
                <w:lang w:val="bg-BG"/>
              </w:rPr>
            </w:pPr>
            <w:r w:rsidRPr="00FB5D9F">
              <w:rPr>
                <w:lang w:val="bg-BG"/>
              </w:rPr>
              <w:t>Във връзка с приетите законодателните изменения бяха създадени Национално звено за резервационни данни на пътниците, Национален контратерористичен център и Звено за финансово разузнаване. През 2019 г. беше завършена първата за България цялостна Национална оценка на риска от изпиране на пари и финансиране на тероризма.</w:t>
            </w:r>
          </w:p>
          <w:p w14:paraId="71D6DE88" w14:textId="77777777" w:rsidR="000579C9" w:rsidRPr="00FB5D9F" w:rsidRDefault="000579C9" w:rsidP="000579C9">
            <w:pPr>
              <w:spacing w:before="60" w:after="60"/>
              <w:jc w:val="both"/>
              <w:rPr>
                <w:lang w:val="bg-BG"/>
              </w:rPr>
            </w:pPr>
            <w:r w:rsidRPr="00FB5D9F">
              <w:rPr>
                <w:lang w:val="bg-BG"/>
              </w:rPr>
              <w:t>Компетентните структури на Министерството на вътрешните работи (МВР) използват съществуващите канали и инструменти за обмен на информация и за сътрудничество с правоприлагащите органи на държавите членки на ЕС. За ефективното предотвратяване на трансграничната престъпност се осъществява сътрудничество и с трети страни в зависимост от оперативната обстановка на национално и международно ниво.</w:t>
            </w:r>
          </w:p>
          <w:p w14:paraId="5B2407D5" w14:textId="77777777" w:rsidR="000579C9" w:rsidRPr="00FB5D9F" w:rsidRDefault="000579C9" w:rsidP="000579C9">
            <w:pPr>
              <w:spacing w:before="60" w:after="60"/>
              <w:jc w:val="both"/>
              <w:rPr>
                <w:lang w:val="bg-BG"/>
              </w:rPr>
            </w:pPr>
            <w:r w:rsidRPr="00FB5D9F">
              <w:rPr>
                <w:lang w:val="bg-BG"/>
              </w:rPr>
              <w:t>България участва във всички приоритетни инициативи, посочени в заключенията на Съвета за определяне на приоритетите на ЕС за борба с организираната и тежка международна престъпност между 2018 и 2021 г. (9450/17).</w:t>
            </w:r>
          </w:p>
          <w:p w14:paraId="104D5D1C" w14:textId="77777777" w:rsidR="000579C9" w:rsidRPr="00FB5D9F" w:rsidRDefault="000579C9" w:rsidP="000579C9">
            <w:pPr>
              <w:spacing w:before="60" w:after="60"/>
              <w:jc w:val="both"/>
              <w:rPr>
                <w:lang w:val="bg-BG"/>
              </w:rPr>
            </w:pPr>
            <w:r w:rsidRPr="00FB5D9F">
              <w:rPr>
                <w:lang w:val="bg-BG"/>
              </w:rPr>
              <w:t>Разработен е Националният механизъм за насочване и подпомагане на жертви на трафик в България, в който участват МВР, Прокуратура, Национална комисия за борба с трафика на хора, която е национален координационен орган, Държавна агенция за закрила на детето, Министерство на труда и социалната политика и представители на местната власт, подпомагани от неправителствени организации.</w:t>
            </w:r>
          </w:p>
          <w:p w14:paraId="02F9AFC7" w14:textId="77777777" w:rsidR="000579C9" w:rsidRPr="00FB5D9F" w:rsidRDefault="000579C9" w:rsidP="000579C9">
            <w:pPr>
              <w:spacing w:before="60" w:after="60"/>
              <w:jc w:val="both"/>
              <w:rPr>
                <w:lang w:val="bg-BG"/>
              </w:rPr>
            </w:pPr>
            <w:r w:rsidRPr="00FB5D9F">
              <w:rPr>
                <w:lang w:val="bg-BG"/>
              </w:rPr>
              <w:t>В изпълнение на препоръките и съображенията в рамките на Механизма на ЕС за сътрудничество и проверка България проведе цялостна реформа на своите правни и институционални антикорупционни рамки, включително чрез създаването на Комисията за противодействие на корупцията и за отнемане на незаконно придобитото имущество. Националният съвет за борба с корупцията наблюдава и координира изпълнението на настоящата антикорупционна стратегия (в процес на разработване е актуализирана стратегия).</w:t>
            </w:r>
          </w:p>
          <w:p w14:paraId="3FD90609" w14:textId="77777777" w:rsidR="000579C9" w:rsidRPr="00FB5D9F" w:rsidRDefault="000579C9" w:rsidP="000579C9">
            <w:pPr>
              <w:spacing w:before="60" w:after="60"/>
              <w:jc w:val="both"/>
              <w:rPr>
                <w:lang w:val="bg-BG"/>
              </w:rPr>
            </w:pPr>
            <w:r w:rsidRPr="00FB5D9F">
              <w:rPr>
                <w:lang w:val="bg-BG"/>
              </w:rPr>
              <w:t>В отговор на отправените препоръки в рамките на Механизма за сътрудничество и проверка, продължават да се прилагат и разработват антикорупционни мерки в МВР. Ежегодно Вътрешноведомственият координационен съвет за борба с корупцията изготвя план за борба с корупцията, чиято цел е практическото изпълнение на Концепцията за превенция и противодействие на корупцията в МВР и ангажиментите на МВР, определени в Националната антикорупционна стратегия.</w:t>
            </w:r>
          </w:p>
          <w:p w14:paraId="03C96F93" w14:textId="77777777" w:rsidR="000579C9" w:rsidRPr="00FB5D9F" w:rsidRDefault="000579C9" w:rsidP="000579C9">
            <w:pPr>
              <w:spacing w:before="60" w:after="60"/>
              <w:jc w:val="both"/>
              <w:rPr>
                <w:lang w:val="bg-BG"/>
              </w:rPr>
            </w:pPr>
            <w:r w:rsidRPr="00FB5D9F">
              <w:rPr>
                <w:lang w:val="bg-BG"/>
              </w:rPr>
              <w:t>Въз основа на европейските и националните стратегии за киберсигурност България прие необходимото законодателство, свързано с транспонирането на Директива (</w:t>
            </w:r>
            <w:r w:rsidRPr="00470B89">
              <w:t>E</w:t>
            </w:r>
            <w:r w:rsidRPr="00FB5D9F">
              <w:rPr>
                <w:lang w:val="bg-BG"/>
              </w:rPr>
              <w:t>С) 2016/1148 на Европейския парламент и на Съвета от 6 юли 2016 година относно мерки за високо общо ниво на сигурност на мрежите и информационните системи в Съюза чрез Закона за киберсигурност. Определени са компетентните органи и е създадена цялостна система за координация и взаимодействие между държавните органи. В процес на обществено обсъждане е нова национална стратегия за киберсигурност.</w:t>
            </w:r>
          </w:p>
          <w:p w14:paraId="61CA1EE3" w14:textId="77777777" w:rsidR="000579C9" w:rsidRPr="00FB5D9F" w:rsidRDefault="000579C9" w:rsidP="000579C9">
            <w:pPr>
              <w:spacing w:before="60" w:after="60"/>
              <w:jc w:val="both"/>
              <w:rPr>
                <w:lang w:val="bg-BG"/>
              </w:rPr>
            </w:pPr>
            <w:r w:rsidRPr="00FB5D9F">
              <w:rPr>
                <w:lang w:val="bg-BG"/>
              </w:rPr>
              <w:t xml:space="preserve">В допълнение на финансирането от националния бюджет, за изпълнението на описаните приоритети бяха подкрепени проекти по Националната програма (НП) по фонд „Вътрешна </w:t>
            </w:r>
            <w:r w:rsidRPr="00FB5D9F">
              <w:rPr>
                <w:lang w:val="bg-BG"/>
              </w:rPr>
              <w:lastRenderedPageBreak/>
              <w:t>сигурност“-Инструмент за полицейско сътрудничество (ФВС-Полиция) 2014-2020 г., насочени към повишаване на ефективността за борба с тероризма, трансграничната, тежка и организирана престъпност (по-специално трафик на наркотици и трафик на хора) и корупцията.</w:t>
            </w:r>
          </w:p>
          <w:p w14:paraId="220FC50E" w14:textId="77777777" w:rsidR="000579C9" w:rsidRPr="00FB5D9F" w:rsidRDefault="000579C9" w:rsidP="000579C9">
            <w:pPr>
              <w:spacing w:before="60" w:after="60"/>
              <w:jc w:val="both"/>
              <w:rPr>
                <w:lang w:val="bg-BG"/>
              </w:rPr>
            </w:pPr>
            <w:r w:rsidRPr="00FB5D9F">
              <w:rPr>
                <w:lang w:val="bg-BG"/>
              </w:rPr>
              <w:t>С изпълнението на проекти, финансирани от НП по ФВС-Полиция и Норвежкия финансов механизъм (НФМ), беше постигнат значителен напредък в областта на укрепването на оперативния и административния капацитет на националните компетентни органи, обмена на информация и развитието на оперативното сътрудничество в съответствие с изискванията и приоритетите на ЕС. Други източници на подкрепа бяха Действията на Съюза по ФВС и Българо-швейцарската програма за сътрудничество.</w:t>
            </w:r>
          </w:p>
          <w:p w14:paraId="520774B7" w14:textId="77777777" w:rsidR="000579C9" w:rsidRPr="00FB5D9F" w:rsidRDefault="000579C9" w:rsidP="000579C9">
            <w:pPr>
              <w:spacing w:before="60" w:after="60"/>
              <w:jc w:val="both"/>
              <w:rPr>
                <w:lang w:val="bg-BG"/>
              </w:rPr>
            </w:pPr>
            <w:r w:rsidRPr="00FB5D9F">
              <w:rPr>
                <w:lang w:val="bg-BG"/>
              </w:rPr>
              <w:t>В рамките на НП по ФВС бяха направени значителни инвестиции за укрепване на способностите за защита на критичната инфраструктура за ефективно управление на рискове и кризи, свързани със сигурността.</w:t>
            </w:r>
          </w:p>
          <w:p w14:paraId="03156707" w14:textId="77777777" w:rsidR="000579C9" w:rsidRPr="00FB5D9F" w:rsidRDefault="000579C9" w:rsidP="000579C9">
            <w:pPr>
              <w:spacing w:before="60" w:after="60"/>
              <w:jc w:val="both"/>
              <w:rPr>
                <w:lang w:val="bg-BG"/>
              </w:rPr>
            </w:pPr>
            <w:r w:rsidRPr="00FB5D9F">
              <w:rPr>
                <w:lang w:val="bg-BG"/>
              </w:rPr>
              <w:t>С подкрепата на настоящата програма бе създаден Национален център за киберпрестъпност. Предвижда се до края на 2022 г. да бъдат изградени Национална координационно-организационна мрежа за киберсигурност и Национален киберситуационен център. По този начин ще се допринесе за развитието на националната система за киберсигурност на стратегическо и оперативно ниво.</w:t>
            </w:r>
          </w:p>
          <w:p w14:paraId="671E2326" w14:textId="77777777" w:rsidR="000579C9" w:rsidRPr="00FB5D9F" w:rsidRDefault="000579C9" w:rsidP="000579C9">
            <w:pPr>
              <w:spacing w:before="60" w:after="60"/>
              <w:jc w:val="both"/>
              <w:rPr>
                <w:lang w:val="bg-BG"/>
              </w:rPr>
            </w:pPr>
            <w:r w:rsidRPr="00FB5D9F">
              <w:rPr>
                <w:lang w:val="bg-BG"/>
              </w:rPr>
              <w:t>Националният бюджет осигурява по-голямата част от средствата, необходими за адресиране на приоритета, свързан с предотвратяване на трафика на хора, повишаване на осведомеността и чувствителността, ранно идентифициране и предоставяне на подкрепа на жертвите. Други източници като Българо-швейцарската програма за сътрудничество, НП по ФВС-Полиция, НФМ и др. също имат принос за изпълнението на приоритета.</w:t>
            </w:r>
          </w:p>
          <w:p w14:paraId="0A375E13" w14:textId="77777777" w:rsidR="000579C9" w:rsidRPr="00FB5D9F" w:rsidRDefault="000579C9" w:rsidP="000579C9">
            <w:pPr>
              <w:spacing w:before="60" w:after="60"/>
              <w:jc w:val="both"/>
              <w:rPr>
                <w:lang w:val="bg-BG"/>
              </w:rPr>
            </w:pPr>
            <w:r w:rsidRPr="00FB5D9F">
              <w:rPr>
                <w:lang w:val="bg-BG"/>
              </w:rPr>
              <w:t xml:space="preserve">Участието на националните органи и организации в партньорски проекти, финансирани от програмите за Действията на Съюза и Спешна помощ по ФВС, „Херкулес </w:t>
            </w:r>
            <w:r w:rsidRPr="00470B89">
              <w:t>III</w:t>
            </w:r>
            <w:r w:rsidRPr="00FB5D9F">
              <w:rPr>
                <w:lang w:val="bg-BG"/>
              </w:rPr>
              <w:t>“, „Хоризонт 2020“, „Права и ценности“, „Правосъдие“ и Програмата за междурегионално сътрудничество ИНТЕРРЕГ също допринесе за изпълнението на приоритетите, финансирани по НП по ФВС-полиция.</w:t>
            </w:r>
          </w:p>
          <w:p w14:paraId="0920AD49" w14:textId="77777777" w:rsidR="000579C9" w:rsidRPr="00FB5D9F" w:rsidRDefault="000579C9" w:rsidP="000579C9">
            <w:pPr>
              <w:spacing w:before="60" w:after="60"/>
              <w:jc w:val="both"/>
              <w:rPr>
                <w:b/>
                <w:lang w:val="bg-BG"/>
              </w:rPr>
            </w:pPr>
            <w:r w:rsidRPr="00FB5D9F">
              <w:rPr>
                <w:b/>
                <w:lang w:val="bg-BG"/>
              </w:rPr>
              <w:t>Научени уроци</w:t>
            </w:r>
          </w:p>
          <w:p w14:paraId="45A48DB4" w14:textId="77777777" w:rsidR="000579C9" w:rsidRPr="00FB5D9F" w:rsidRDefault="000579C9" w:rsidP="000579C9">
            <w:pPr>
              <w:spacing w:before="60" w:after="60"/>
              <w:jc w:val="both"/>
              <w:rPr>
                <w:lang w:val="bg-BG"/>
              </w:rPr>
            </w:pPr>
            <w:r w:rsidRPr="00FB5D9F">
              <w:rPr>
                <w:lang w:val="bg-BG"/>
              </w:rPr>
              <w:t>Резултатът от междинния преглед на НП по ФВС-полиция показа несъразмерност между идентифицираните нужди и наличните ресурси. Беше подчертана необходимостта от разширяване на обхвата на приоритетните области и от включване на нови. В условията на финансови ограничения, програмата трябваше да се изпълнява чрез прилагане на механизмите за гъвкавост, включително преразпределяне на приоритетите и преразпределение на ресурс за други или нови дейности.</w:t>
            </w:r>
          </w:p>
          <w:p w14:paraId="54DD1778" w14:textId="77777777" w:rsidR="000579C9" w:rsidRPr="00FB5D9F" w:rsidRDefault="000579C9" w:rsidP="000579C9">
            <w:pPr>
              <w:spacing w:before="60" w:after="60"/>
              <w:jc w:val="both"/>
              <w:rPr>
                <w:lang w:val="bg-BG"/>
              </w:rPr>
            </w:pPr>
            <w:r w:rsidRPr="00FB5D9F">
              <w:rPr>
                <w:lang w:val="bg-BG"/>
              </w:rPr>
              <w:t>Предвид спецификата на сектора на сигурността и значението на ФВС за справяне с предизвикателствата в различни приоритетни области, както и взаимната зависимост между тях, не е подходящо да се прилага стриктна приоритизация.</w:t>
            </w:r>
          </w:p>
          <w:p w14:paraId="40DA31B5" w14:textId="77777777" w:rsidR="000579C9" w:rsidRPr="00FB5D9F" w:rsidRDefault="000579C9" w:rsidP="000579C9">
            <w:pPr>
              <w:spacing w:before="60" w:after="60"/>
              <w:jc w:val="both"/>
              <w:rPr>
                <w:lang w:val="bg-BG"/>
              </w:rPr>
            </w:pPr>
            <w:r w:rsidRPr="00FB5D9F">
              <w:rPr>
                <w:lang w:val="bg-BG"/>
              </w:rPr>
              <w:t>За следващия програмен период обаче ще бъде приложен по-стратегически подход, който изисква насочване на инвестициите към по-дългосрочни и устойчиви резултати.</w:t>
            </w:r>
          </w:p>
          <w:p w14:paraId="0DB1C1CD" w14:textId="77777777" w:rsidR="000579C9" w:rsidRPr="00FB5D9F" w:rsidRDefault="000579C9" w:rsidP="000579C9">
            <w:pPr>
              <w:spacing w:before="60" w:after="60"/>
              <w:jc w:val="both"/>
              <w:rPr>
                <w:lang w:val="bg-BG"/>
              </w:rPr>
            </w:pPr>
            <w:r w:rsidRPr="00FB5D9F">
              <w:rPr>
                <w:lang w:val="bg-BG"/>
              </w:rPr>
              <w:t xml:space="preserve">Ще се търсят и ще се използват по-добре синергиите с други фондове и програми. </w:t>
            </w:r>
          </w:p>
          <w:p w14:paraId="77648F2A" w14:textId="77777777" w:rsidR="000579C9" w:rsidRPr="00FB5D9F" w:rsidRDefault="000579C9" w:rsidP="000579C9">
            <w:pPr>
              <w:spacing w:before="60" w:after="60"/>
              <w:jc w:val="both"/>
              <w:rPr>
                <w:b/>
                <w:bCs/>
                <w:lang w:val="bg-BG"/>
              </w:rPr>
            </w:pPr>
            <w:r w:rsidRPr="00FB5D9F">
              <w:rPr>
                <w:b/>
                <w:bCs/>
                <w:lang w:val="bg-BG"/>
              </w:rPr>
              <w:t xml:space="preserve">Изпълнение на достиженията на правото на ЕС </w:t>
            </w:r>
          </w:p>
          <w:p w14:paraId="67D53937" w14:textId="77777777" w:rsidR="000579C9" w:rsidRPr="00FB5D9F" w:rsidRDefault="000579C9" w:rsidP="000579C9">
            <w:pPr>
              <w:spacing w:before="60" w:after="60"/>
              <w:jc w:val="both"/>
              <w:rPr>
                <w:lang w:val="bg-BG"/>
              </w:rPr>
            </w:pPr>
            <w:r w:rsidRPr="00FB5D9F">
              <w:rPr>
                <w:lang w:val="bg-BG"/>
              </w:rPr>
              <w:t>България активно допринася за развитието и прилагането на политиките и приоритетите на ЕС в областта на сигурността чрез участие на компетентните органи в механизмите за сътрудничество на стратегическо, политическо и оперативно ниво, включително съвместни проекти и инициативи съгласно договорените планове за действие.</w:t>
            </w:r>
          </w:p>
          <w:p w14:paraId="7A00CFAA" w14:textId="77777777" w:rsidR="000579C9" w:rsidRPr="00FB5D9F" w:rsidRDefault="000579C9" w:rsidP="000579C9">
            <w:pPr>
              <w:spacing w:before="60" w:after="60"/>
              <w:jc w:val="both"/>
              <w:rPr>
                <w:lang w:val="bg-BG"/>
              </w:rPr>
            </w:pPr>
            <w:r w:rsidRPr="00FB5D9F">
              <w:rPr>
                <w:lang w:val="bg-BG"/>
              </w:rPr>
              <w:t>България е определила свой представител/звено за контакт в Европейския клирингов борд, както и в Лабораторията за иновации на Европол.</w:t>
            </w:r>
          </w:p>
          <w:p w14:paraId="0C2BA10D" w14:textId="77777777" w:rsidR="000579C9" w:rsidRPr="00FB5D9F" w:rsidRDefault="000579C9" w:rsidP="000579C9">
            <w:pPr>
              <w:spacing w:before="60" w:after="60"/>
              <w:jc w:val="both"/>
              <w:rPr>
                <w:lang w:val="bg-BG"/>
              </w:rPr>
            </w:pPr>
            <w:r w:rsidRPr="00FB5D9F">
              <w:rPr>
                <w:lang w:val="bg-BG"/>
              </w:rPr>
              <w:t xml:space="preserve">В допълнение към необходимостта от продължаване на това участие, за следващия период България е изправена пред предизвикателството да изпълни ангажиментите си за осигуряване на правилно и навременно прилагане на оперативната съвместимост и регламентите за ШИС </w:t>
            </w:r>
            <w:r w:rsidRPr="00470B89">
              <w:t>II</w:t>
            </w:r>
            <w:r w:rsidRPr="00FB5D9F">
              <w:rPr>
                <w:lang w:val="bg-BG"/>
              </w:rPr>
              <w:t xml:space="preserve"> на национално ниво.</w:t>
            </w:r>
          </w:p>
          <w:p w14:paraId="00CE1F9B" w14:textId="77777777" w:rsidR="000579C9" w:rsidRPr="00FB5D9F" w:rsidRDefault="000579C9" w:rsidP="000579C9">
            <w:pPr>
              <w:spacing w:before="60" w:after="60"/>
              <w:jc w:val="both"/>
              <w:rPr>
                <w:lang w:val="bg-BG"/>
              </w:rPr>
            </w:pPr>
            <w:r w:rsidRPr="00FB5D9F">
              <w:rPr>
                <w:lang w:val="bg-BG"/>
              </w:rPr>
              <w:lastRenderedPageBreak/>
              <w:t>Създадена е работна група цел координиране на техническото изграждане на новите функционални възможности на ШИС, разработването на предложение за законодателни изменения и подготовката на отговорните органи.</w:t>
            </w:r>
          </w:p>
          <w:p w14:paraId="7E9F3367" w14:textId="77777777" w:rsidR="000579C9" w:rsidRPr="00FB5D9F" w:rsidRDefault="000579C9" w:rsidP="000579C9">
            <w:pPr>
              <w:spacing w:before="60" w:after="60"/>
              <w:jc w:val="both"/>
              <w:rPr>
                <w:lang w:val="bg-BG"/>
              </w:rPr>
            </w:pPr>
            <w:r w:rsidRPr="00FB5D9F">
              <w:rPr>
                <w:lang w:val="bg-BG"/>
              </w:rPr>
              <w:t>Допълнителното обновяване и поддръжка на националната ШИС ще се финансира по програмата по ИУГВП.</w:t>
            </w:r>
          </w:p>
          <w:p w14:paraId="3C83FC2B" w14:textId="77777777" w:rsidR="000579C9" w:rsidRPr="00FB5D9F" w:rsidRDefault="000579C9" w:rsidP="000579C9">
            <w:pPr>
              <w:spacing w:before="60" w:after="60"/>
              <w:jc w:val="both"/>
              <w:rPr>
                <w:lang w:val="bg-BG"/>
              </w:rPr>
            </w:pPr>
            <w:r w:rsidRPr="00FB5D9F">
              <w:rPr>
                <w:lang w:val="bg-BG"/>
              </w:rPr>
              <w:t xml:space="preserve">България трябва да анализира нуждите от изменения/ развитие на законодателната, стратегическа и оперативна рамка с оглед предвиденото ново законодателство/ законодателни изменения в областта на Прюм </w:t>
            </w:r>
            <w:r w:rsidRPr="00470B89">
              <w:t>II</w:t>
            </w:r>
            <w:r w:rsidRPr="00FB5D9F">
              <w:rPr>
                <w:lang w:val="bg-BG"/>
              </w:rPr>
              <w:t xml:space="preserve">, Европол, онлайн сексуална експлоатация на деца, вкл. в рамките на Кодекса за полицейско сътрудничество и приемането на продължението на цикъла на политиката на ЕС за борба с организираната и тежката международна престъпност </w:t>
            </w:r>
            <w:r>
              <w:t>EMPACT</w:t>
            </w:r>
            <w:r w:rsidRPr="00FB5D9F">
              <w:rPr>
                <w:lang w:val="bg-BG"/>
              </w:rPr>
              <w:t xml:space="preserve"> 2022+. </w:t>
            </w:r>
          </w:p>
          <w:p w14:paraId="2E6DC57B" w14:textId="77777777" w:rsidR="000579C9" w:rsidRPr="00FB5D9F" w:rsidRDefault="000579C9" w:rsidP="000579C9">
            <w:pPr>
              <w:spacing w:before="60" w:after="60"/>
              <w:jc w:val="both"/>
              <w:rPr>
                <w:lang w:val="bg-BG"/>
              </w:rPr>
            </w:pPr>
            <w:r w:rsidRPr="00FB5D9F">
              <w:rPr>
                <w:lang w:val="bg-BG"/>
              </w:rPr>
              <w:t>Предвидените нови изисквания ще доведат до увеличаване на натовареността на националните точки за контакт и свързаната с това необходимост от тяхното развитие.</w:t>
            </w:r>
          </w:p>
          <w:p w14:paraId="443DBA94" w14:textId="77777777" w:rsidR="000579C9" w:rsidRPr="00FB5D9F" w:rsidRDefault="000579C9" w:rsidP="000579C9">
            <w:pPr>
              <w:spacing w:before="60" w:after="60"/>
              <w:jc w:val="both"/>
              <w:rPr>
                <w:lang w:val="bg-BG"/>
              </w:rPr>
            </w:pPr>
            <w:r w:rsidRPr="00FB5D9F">
              <w:rPr>
                <w:lang w:val="bg-BG"/>
              </w:rPr>
              <w:t>Програмата по ФВС е подходящ инструмент за предоставяне на подкрепа за адресиране на посочените предизвикателства.</w:t>
            </w:r>
          </w:p>
          <w:p w14:paraId="0F2B90C4" w14:textId="77777777" w:rsidR="000579C9" w:rsidRPr="00FB5D9F" w:rsidRDefault="000579C9" w:rsidP="000579C9">
            <w:pPr>
              <w:spacing w:before="60" w:after="60"/>
              <w:jc w:val="both"/>
              <w:rPr>
                <w:b/>
                <w:bCs/>
                <w:lang w:val="bg-BG"/>
              </w:rPr>
            </w:pPr>
            <w:r w:rsidRPr="00FB5D9F">
              <w:rPr>
                <w:b/>
                <w:bCs/>
                <w:lang w:val="bg-BG"/>
              </w:rPr>
              <w:t>Стратегия за периода 2021-2027 г.</w:t>
            </w:r>
          </w:p>
          <w:p w14:paraId="155D703E" w14:textId="77777777" w:rsidR="000579C9" w:rsidRPr="00FB5D9F" w:rsidRDefault="000579C9" w:rsidP="000579C9">
            <w:pPr>
              <w:spacing w:before="60" w:after="60"/>
              <w:jc w:val="both"/>
              <w:rPr>
                <w:lang w:val="bg-BG"/>
              </w:rPr>
            </w:pPr>
            <w:r w:rsidRPr="00FB5D9F">
              <w:rPr>
                <w:lang w:val="bg-BG"/>
              </w:rPr>
              <w:t>В контекста на повишените рискове за сигурността и трансграничните заплахи и съгласно Стратегическия анализ на социално-икономическото развитие на България 2007-2017 за определяне на националните приоритети за 2021-2027 г., сигурността и миграцията са сред трите хоризонтални области, в които правителствените политики ще прилагат целенасочени мерки през следващия период.</w:t>
            </w:r>
          </w:p>
          <w:p w14:paraId="3CA7C77A" w14:textId="77777777" w:rsidR="000579C9" w:rsidRPr="00FB5D9F" w:rsidRDefault="000579C9" w:rsidP="000579C9">
            <w:pPr>
              <w:spacing w:before="60" w:after="60"/>
              <w:jc w:val="both"/>
              <w:rPr>
                <w:lang w:val="bg-BG"/>
              </w:rPr>
            </w:pPr>
            <w:r w:rsidRPr="00FB5D9F">
              <w:rPr>
                <w:lang w:val="bg-BG"/>
              </w:rPr>
              <w:t>Основните приоритети в областта на сигурността, очертани в стратегическия документ, са свързани с повишаване на капацитета за противодействие на престъпността, по-специално на организираната престъпност, тероризма и корупцията.</w:t>
            </w:r>
          </w:p>
          <w:p w14:paraId="0B9C5BB4" w14:textId="77777777" w:rsidR="000579C9" w:rsidRPr="00FB5D9F" w:rsidRDefault="000579C9" w:rsidP="000579C9">
            <w:pPr>
              <w:spacing w:before="60" w:after="60"/>
              <w:jc w:val="both"/>
              <w:rPr>
                <w:lang w:val="bg-BG"/>
              </w:rPr>
            </w:pPr>
            <w:r w:rsidRPr="00FB5D9F">
              <w:rPr>
                <w:lang w:val="bg-BG"/>
              </w:rPr>
              <w:t>Създадена е Тематична работна група за разработване на програмата по ФВС.</w:t>
            </w:r>
          </w:p>
          <w:p w14:paraId="0876CDB4" w14:textId="77777777" w:rsidR="000579C9" w:rsidRPr="00FB5D9F" w:rsidRDefault="000579C9" w:rsidP="000579C9">
            <w:pPr>
              <w:spacing w:before="60" w:after="60"/>
              <w:jc w:val="both"/>
              <w:rPr>
                <w:lang w:val="bg-BG"/>
              </w:rPr>
            </w:pPr>
            <w:r w:rsidRPr="00FB5D9F">
              <w:rPr>
                <w:lang w:val="bg-BG"/>
              </w:rPr>
              <w:t>Бяха събрани идеи за проекти и бяха проведени широки дискусии, в рамките на които бяха изведени следните заключения:</w:t>
            </w:r>
          </w:p>
          <w:p w14:paraId="50BE268A" w14:textId="77777777" w:rsidR="000579C9" w:rsidRPr="00FB5D9F" w:rsidRDefault="000579C9" w:rsidP="000579C9">
            <w:pPr>
              <w:spacing w:before="60" w:after="60"/>
              <w:jc w:val="both"/>
              <w:rPr>
                <w:lang w:val="bg-BG"/>
              </w:rPr>
            </w:pPr>
            <w:r w:rsidRPr="00FB5D9F">
              <w:rPr>
                <w:lang w:val="bg-BG"/>
              </w:rPr>
              <w:t>- Увеличаването на мащаба и размера, разнообразието и сложността на заплахите за сигурността, както и развитите способности на престъпните групи продължават да представляват предизвикателства, които изискват единна и координирана реакция;</w:t>
            </w:r>
          </w:p>
          <w:p w14:paraId="29D96628" w14:textId="77777777" w:rsidR="000579C9" w:rsidRPr="00FB5D9F" w:rsidRDefault="000579C9" w:rsidP="000579C9">
            <w:pPr>
              <w:spacing w:before="60" w:after="60"/>
              <w:jc w:val="both"/>
              <w:rPr>
                <w:lang w:val="bg-BG"/>
              </w:rPr>
            </w:pPr>
            <w:r w:rsidRPr="00FB5D9F">
              <w:rPr>
                <w:lang w:val="bg-BG"/>
              </w:rPr>
              <w:t>- Липсата на достатъчно и / или на модерни системи, инструменти и оборудване, както и недостатъчният опит и квалификация в някои области (напр. Киберпрестъпления) и необходимостта от надграждане на установените такива представляват предизвикателства за ефективното прилагане на механизмите за сътрудничество в съответствие с националните и европейски изисквания и приоритети;</w:t>
            </w:r>
          </w:p>
          <w:p w14:paraId="1430E733" w14:textId="77777777" w:rsidR="000579C9" w:rsidRPr="00FB5D9F" w:rsidRDefault="000579C9" w:rsidP="000579C9">
            <w:pPr>
              <w:spacing w:before="60" w:after="60"/>
              <w:jc w:val="both"/>
              <w:rPr>
                <w:lang w:val="bg-BG"/>
              </w:rPr>
            </w:pPr>
            <w:r w:rsidRPr="00FB5D9F">
              <w:rPr>
                <w:lang w:val="bg-BG"/>
              </w:rPr>
              <w:t>- Дейности, финансирани през настоящия период, свързани с превенция и борба с тероризма и радикализацията, трансграничната, тежка и организирана престъпност, киберпрестъпността и корупцията се считат за необходими и подходящи за справяне с предизвикателствата пред сигурността и трябва да бъдат продължени и надградени.</w:t>
            </w:r>
          </w:p>
          <w:p w14:paraId="33223AC3" w14:textId="77777777" w:rsidR="000579C9" w:rsidRPr="00FB5D9F" w:rsidRDefault="000579C9" w:rsidP="000579C9">
            <w:pPr>
              <w:spacing w:before="60" w:after="60"/>
              <w:jc w:val="both"/>
              <w:rPr>
                <w:lang w:val="bg-BG"/>
              </w:rPr>
            </w:pPr>
            <w:r w:rsidRPr="00FB5D9F">
              <w:rPr>
                <w:lang w:val="bg-BG"/>
              </w:rPr>
              <w:t>Програмата по ФВС ще предоставя подкрепа по трите специфични цели от Регламента за създаване на ФВС и ще се съсредоточи върху:</w:t>
            </w:r>
          </w:p>
          <w:p w14:paraId="43351D43" w14:textId="77777777" w:rsidR="000579C9" w:rsidRPr="00FB5D9F" w:rsidRDefault="000579C9" w:rsidP="000579C9">
            <w:pPr>
              <w:spacing w:before="60" w:after="60"/>
              <w:jc w:val="both"/>
              <w:rPr>
                <w:lang w:val="bg-BG"/>
              </w:rPr>
            </w:pPr>
            <w:r w:rsidRPr="00FB5D9F">
              <w:rPr>
                <w:lang w:val="bg-BG"/>
              </w:rPr>
              <w:t>- повишаване на ефективността и активното използване на национални и европейски инструменти, системи и бази данни, свързани със сигурността, и гарантиране, че те се захранват с висококачествени данни;</w:t>
            </w:r>
          </w:p>
          <w:p w14:paraId="67B065AF" w14:textId="77777777" w:rsidR="000579C9" w:rsidRPr="00FB5D9F" w:rsidRDefault="000579C9" w:rsidP="000579C9">
            <w:pPr>
              <w:spacing w:before="60" w:after="60"/>
              <w:jc w:val="both"/>
              <w:rPr>
                <w:lang w:val="bg-BG"/>
              </w:rPr>
            </w:pPr>
            <w:r w:rsidRPr="00FB5D9F">
              <w:rPr>
                <w:lang w:val="bg-BG"/>
              </w:rPr>
              <w:t>- засилване на оперативното сътрудничество чрез участие в съвместни операции,  /създаване на условия за/ участие в съвместни обучения, учения и програми за обмен;</w:t>
            </w:r>
          </w:p>
          <w:p w14:paraId="7539DC50" w14:textId="77777777" w:rsidR="000579C9" w:rsidRPr="00FB5D9F" w:rsidRDefault="000579C9" w:rsidP="000579C9">
            <w:pPr>
              <w:spacing w:before="60" w:after="60"/>
              <w:jc w:val="both"/>
              <w:rPr>
                <w:lang w:val="bg-BG"/>
              </w:rPr>
            </w:pPr>
            <w:r w:rsidRPr="00FB5D9F">
              <w:rPr>
                <w:lang w:val="bg-BG"/>
              </w:rPr>
              <w:t>- повишаване на административния и оперативния капацитет и техническите възможности на правоприлагащите органи чрез обучения, обмен на опит и най-добри практики, доставка на специализирано оборудване/транспортни средства/ устройства и създаване или модернизиране на инфраструктура, свързана със сигурността.</w:t>
            </w:r>
          </w:p>
          <w:p w14:paraId="47C5DEED" w14:textId="77777777" w:rsidR="000579C9" w:rsidRPr="00FB5D9F" w:rsidRDefault="000579C9" w:rsidP="000579C9">
            <w:pPr>
              <w:spacing w:before="60" w:after="60"/>
              <w:jc w:val="both"/>
              <w:rPr>
                <w:lang w:val="bg-BG"/>
              </w:rPr>
            </w:pPr>
            <w:r w:rsidRPr="00FB5D9F">
              <w:rPr>
                <w:lang w:val="bg-BG"/>
              </w:rPr>
              <w:t>Програмата по ФВС ще продължи да предоставя подкрепа за изпълнението на приоритетите, адресирани през текущия период в допълнение към националното финансиране.</w:t>
            </w:r>
          </w:p>
          <w:p w14:paraId="0D05F94D" w14:textId="77777777" w:rsidR="000579C9" w:rsidRPr="00FB5D9F" w:rsidRDefault="000579C9" w:rsidP="000579C9">
            <w:pPr>
              <w:spacing w:before="60" w:after="60"/>
              <w:jc w:val="both"/>
              <w:rPr>
                <w:lang w:val="bg-BG"/>
              </w:rPr>
            </w:pPr>
            <w:r w:rsidRPr="00FB5D9F">
              <w:rPr>
                <w:lang w:val="bg-BG"/>
              </w:rPr>
              <w:lastRenderedPageBreak/>
              <w:t>Ще бъде предвидена подкрепа за подобряване на учебната среда и ефективността на националната точка за контакт (НТК) на на Агенцията на Европейския съюз за обучение в областта на правоприлагането (</w:t>
            </w:r>
            <w:r w:rsidRPr="00F34D48">
              <w:t>CEPOL</w:t>
            </w:r>
            <w:r w:rsidRPr="00FB5D9F">
              <w:rPr>
                <w:lang w:val="bg-BG"/>
              </w:rPr>
              <w:t xml:space="preserve">) с цел постигане на европейските стандарти и установени практики на обучение в правоприлагащите органи в ЕС, както и хармонизиран, интернационализиране и съвместимост на програмите и материалите за обучение. НТК ще координира предвидените обучителни дейности със </w:t>
            </w:r>
            <w:r w:rsidRPr="00215CD5">
              <w:t>CEPOL</w:t>
            </w:r>
            <w:r w:rsidRPr="00FB5D9F">
              <w:rPr>
                <w:lang w:val="bg-BG"/>
              </w:rPr>
              <w:t>, за да засили синергиите и да избегне дублирането.</w:t>
            </w:r>
          </w:p>
          <w:p w14:paraId="3939B239" w14:textId="77777777" w:rsidR="000579C9" w:rsidRPr="00FB5D9F" w:rsidRDefault="000579C9" w:rsidP="000579C9">
            <w:pPr>
              <w:spacing w:before="60" w:after="60"/>
              <w:jc w:val="both"/>
              <w:rPr>
                <w:lang w:val="bg-BG"/>
              </w:rPr>
            </w:pPr>
            <w:r w:rsidRPr="00FB5D9F">
              <w:rPr>
                <w:lang w:val="bg-BG"/>
              </w:rPr>
              <w:t xml:space="preserve">С цел да се отговори на основните нужди и развитието на политиките на национално и европейско равнище ще бъдат включени нови действия, насочени към създаването на специализиран център за обучение по киберпрестъпност, </w:t>
            </w:r>
            <w:r>
              <w:t>a</w:t>
            </w:r>
            <w:r w:rsidRPr="00FB5D9F">
              <w:rPr>
                <w:lang w:val="bg-BG"/>
              </w:rPr>
              <w:t xml:space="preserve"> обхватът на текущите действия, свързани с изпълнението на съвместни операции, ще бъде разширен, за да включва нови приоритети като контрабандата на мигранти.</w:t>
            </w:r>
          </w:p>
          <w:p w14:paraId="757717D6" w14:textId="77777777" w:rsidR="000579C9" w:rsidRPr="00FB5D9F" w:rsidRDefault="000579C9" w:rsidP="000579C9">
            <w:pPr>
              <w:spacing w:before="60" w:after="60"/>
              <w:jc w:val="both"/>
              <w:rPr>
                <w:lang w:val="bg-BG"/>
              </w:rPr>
            </w:pPr>
            <w:r w:rsidRPr="00FB5D9F">
              <w:rPr>
                <w:lang w:val="bg-BG"/>
              </w:rPr>
              <w:t>Предвидените мерки, свързани с борбата с корупцията, ще допринесат за справяне с конкретните за страната препоръки и констатации в рамките на Европейския семестър, съгласно които корупцията остава сред основните пречки пред инвестициите и продължава да буди безпокойство, както и че рискът от нея трябва бъде по-добре адресиран.</w:t>
            </w:r>
          </w:p>
          <w:p w14:paraId="74DA527E" w14:textId="77777777" w:rsidR="000579C9" w:rsidRPr="00FB5D9F" w:rsidRDefault="000579C9" w:rsidP="000579C9">
            <w:pPr>
              <w:spacing w:before="60" w:after="60"/>
              <w:jc w:val="both"/>
              <w:rPr>
                <w:lang w:val="bg-BG"/>
              </w:rPr>
            </w:pPr>
            <w:r w:rsidRPr="00FB5D9F">
              <w:rPr>
                <w:lang w:val="bg-BG"/>
              </w:rPr>
              <w:t>На национално ниво ще продължи координацията между Управляващите органи (УО) на ФВС и други фондове на ЕС в рамките на Споразумението за партньорство, за да се постигне максимален ефект от помощта в близки и сходни тематични области, по-специално в областта на киберпрестъпността, защитата на гражданите, публичните пространства и критичната инфраструктура.</w:t>
            </w:r>
          </w:p>
          <w:p w14:paraId="769B9F63" w14:textId="77777777" w:rsidR="000579C9" w:rsidRPr="00FB5D9F" w:rsidRDefault="000579C9" w:rsidP="000579C9">
            <w:pPr>
              <w:spacing w:before="60" w:after="60"/>
              <w:jc w:val="both"/>
              <w:rPr>
                <w:b/>
                <w:i/>
                <w:lang w:val="bg-BG"/>
              </w:rPr>
            </w:pPr>
            <w:r w:rsidRPr="00FB5D9F">
              <w:rPr>
                <w:b/>
                <w:i/>
                <w:lang w:val="bg-BG"/>
              </w:rPr>
              <w:t>Административен капацитет</w:t>
            </w:r>
          </w:p>
          <w:p w14:paraId="4B3E7D4B" w14:textId="77777777" w:rsidR="000579C9" w:rsidRPr="00FB5D9F" w:rsidRDefault="000579C9" w:rsidP="000579C9">
            <w:pPr>
              <w:spacing w:before="60" w:after="60"/>
              <w:jc w:val="both"/>
              <w:rPr>
                <w:lang w:val="bg-BG"/>
              </w:rPr>
            </w:pPr>
            <w:r w:rsidRPr="00FB5D9F">
              <w:rPr>
                <w:lang w:val="bg-BG"/>
              </w:rPr>
              <w:t>Проведени са обучения за повишаване на професионалната квалификация и е натрупан значителен опит от УО и бенефициентите през текущия период.</w:t>
            </w:r>
          </w:p>
          <w:p w14:paraId="3759887A" w14:textId="77777777" w:rsidR="000579C9" w:rsidRPr="00FB5D9F" w:rsidRDefault="000579C9" w:rsidP="000579C9">
            <w:pPr>
              <w:spacing w:before="60" w:after="60"/>
              <w:jc w:val="both"/>
              <w:rPr>
                <w:lang w:val="bg-BG"/>
              </w:rPr>
            </w:pPr>
            <w:r w:rsidRPr="00FB5D9F">
              <w:rPr>
                <w:lang w:val="bg-BG"/>
              </w:rPr>
              <w:t>Разнообразният тематичен обхват на програмата и широкият обхват на потенциалните бенефициенти и заинтересовани страни, както и включването на фондовете в областта на вътрешните работи в Регламента за общоприложимите разпоредби, са предизвикателства, които инвестициите в административния капацитет могат да адресират.</w:t>
            </w:r>
          </w:p>
          <w:p w14:paraId="00D58F2F" w14:textId="77777777" w:rsidR="000579C9" w:rsidRPr="00FB5D9F" w:rsidRDefault="000579C9" w:rsidP="000579C9">
            <w:pPr>
              <w:spacing w:before="60" w:after="60"/>
              <w:jc w:val="both"/>
              <w:rPr>
                <w:lang w:val="bg-BG"/>
              </w:rPr>
            </w:pPr>
            <w:r w:rsidRPr="00FB5D9F">
              <w:rPr>
                <w:lang w:val="bg-BG"/>
              </w:rPr>
              <w:t>За да се отговори на предизвикателството, свързано с административната тежест в рамките на националната програма по ФВС-Полиция, процедурите за подбор бяха реорганизирани, за да се съчетаят няколко действия в една процедура по повече от една специфична цел. Тази практика ще бъде приложена в рамките на ФВС.</w:t>
            </w:r>
          </w:p>
          <w:p w14:paraId="1BE2AFE7" w14:textId="77777777" w:rsidR="000579C9" w:rsidRPr="00FB5D9F" w:rsidRDefault="000579C9" w:rsidP="000579C9">
            <w:pPr>
              <w:spacing w:before="60" w:after="60"/>
              <w:jc w:val="both"/>
              <w:rPr>
                <w:lang w:val="bg-BG"/>
              </w:rPr>
            </w:pPr>
            <w:r w:rsidRPr="00FB5D9F">
              <w:rPr>
                <w:lang w:val="bg-BG"/>
              </w:rPr>
              <w:t>Информационната система за управление и наблюдение на средствата от ЕС в България 2020 ще продължи да се използва, включително за подаване на проектни предложения и за отчитане на напредъка в изпълнението.</w:t>
            </w:r>
          </w:p>
          <w:p w14:paraId="628302BD" w14:textId="77777777" w:rsidR="000579C9" w:rsidRPr="00FB5D9F" w:rsidRDefault="000579C9" w:rsidP="000579C9">
            <w:pPr>
              <w:spacing w:before="60" w:after="60"/>
              <w:jc w:val="both"/>
              <w:rPr>
                <w:lang w:val="bg-BG"/>
              </w:rPr>
            </w:pPr>
            <w:r w:rsidRPr="00FB5D9F">
              <w:rPr>
                <w:lang w:val="bg-BG"/>
              </w:rPr>
              <w:t>България ще използва приноса от програмата по ФВС, за да предоставя подкрепа на бенефициентите под формата на безвъзмездни средства.</w:t>
            </w:r>
          </w:p>
          <w:p w14:paraId="570CFF7D" w14:textId="77777777" w:rsidR="000579C9" w:rsidRPr="00FB5D9F" w:rsidRDefault="000579C9" w:rsidP="000579C9">
            <w:pPr>
              <w:spacing w:before="60" w:after="60"/>
              <w:jc w:val="both"/>
              <w:rPr>
                <w:lang w:val="bg-BG"/>
              </w:rPr>
            </w:pPr>
            <w:r w:rsidRPr="00FB5D9F">
              <w:rPr>
                <w:lang w:val="bg-BG"/>
              </w:rPr>
              <w:t>Предвидените дейности са съобразени с климатичните и екологичните стандарти и приоритети на ЕС и няма да нанесат значителна вреда на екологичните цели по смисъла на член 17 от Регламент (ЕС) № 2020/852.</w:t>
            </w:r>
          </w:p>
          <w:p w14:paraId="28B23315" w14:textId="77777777" w:rsidR="000579C9" w:rsidRPr="00FB5D9F" w:rsidRDefault="000579C9" w:rsidP="000579C9">
            <w:pPr>
              <w:spacing w:before="60" w:after="60"/>
              <w:jc w:val="both"/>
              <w:rPr>
                <w:lang w:val="bg-BG"/>
              </w:rPr>
            </w:pPr>
            <w:r w:rsidRPr="00FB5D9F">
              <w:rPr>
                <w:lang w:val="bg-BG"/>
              </w:rPr>
              <w:t>Очаквани резултати:</w:t>
            </w:r>
          </w:p>
          <w:p w14:paraId="575E69D8" w14:textId="77777777" w:rsidR="000579C9" w:rsidRPr="00FB5D9F" w:rsidRDefault="000579C9" w:rsidP="000579C9">
            <w:pPr>
              <w:spacing w:before="60" w:after="60"/>
              <w:jc w:val="both"/>
              <w:rPr>
                <w:lang w:val="bg-BG"/>
              </w:rPr>
            </w:pPr>
            <w:r w:rsidRPr="00FB5D9F">
              <w:rPr>
                <w:lang w:val="bg-BG"/>
              </w:rPr>
              <w:t>- засилена ефективност на превенцията, разследването и противодействието на престъпността, която ще се измерва чрез увеличен брой наблюдавани/разбити организирани престъпни групи, брой полицейски операции, новообразувани досъдебни производства;</w:t>
            </w:r>
          </w:p>
          <w:p w14:paraId="5C0F6CAB" w14:textId="77777777" w:rsidR="000579C9" w:rsidRPr="00FB5D9F" w:rsidRDefault="000579C9" w:rsidP="000579C9">
            <w:pPr>
              <w:spacing w:before="60" w:after="60"/>
              <w:jc w:val="both"/>
              <w:rPr>
                <w:lang w:val="bg-BG"/>
              </w:rPr>
            </w:pPr>
            <w:r w:rsidRPr="00FB5D9F">
              <w:rPr>
                <w:lang w:val="bg-BG"/>
              </w:rPr>
              <w:t>- повишена и подобрена оперативна съвместимост на ресурсите, технологиите, уменията и практиките на националните компетентни органи с наличните и използваните от партньорските служби в други държави членки и от агенциите на ЕС, което ще бъде измерено чрез увеличен обмен на информация и увеличен брой съвместни операции;</w:t>
            </w:r>
          </w:p>
          <w:p w14:paraId="56C8B6DC" w14:textId="77777777" w:rsidR="00A77B3E" w:rsidRPr="00FB5D9F" w:rsidRDefault="000579C9" w:rsidP="000579C9">
            <w:pPr>
              <w:rPr>
                <w:color w:val="000000"/>
                <w:lang w:val="bg-BG"/>
              </w:rPr>
            </w:pPr>
            <w:r w:rsidRPr="00FB5D9F">
              <w:rPr>
                <w:lang w:val="bg-BG"/>
              </w:rPr>
              <w:t>- подобряване на знанията на служителите на правоприлагащите органи.</w:t>
            </w:r>
          </w:p>
          <w:p w14:paraId="6D1BEE7C" w14:textId="77777777" w:rsidR="00A77B3E" w:rsidRPr="00FB5D9F" w:rsidRDefault="00A77B3E">
            <w:pPr>
              <w:rPr>
                <w:color w:val="000000"/>
                <w:lang w:val="bg-BG"/>
              </w:rPr>
            </w:pPr>
          </w:p>
        </w:tc>
      </w:tr>
    </w:tbl>
    <w:p w14:paraId="0D62005F" w14:textId="77777777" w:rsidR="00A77B3E" w:rsidRPr="00FB5D9F" w:rsidRDefault="00A77B3E">
      <w:pPr>
        <w:rPr>
          <w:color w:val="000000"/>
          <w:lang w:val="bg-BG"/>
        </w:rPr>
        <w:sectPr w:rsidR="00A77B3E" w:rsidRPr="00FB5D9F">
          <w:footerReference w:type="default" r:id="rId10"/>
          <w:pgSz w:w="11906" w:h="16838"/>
          <w:pgMar w:top="720" w:right="936" w:bottom="864" w:left="720" w:header="0" w:footer="72" w:gutter="0"/>
          <w:cols w:space="720"/>
          <w:noEndnote/>
          <w:docGrid w:linePitch="360"/>
        </w:sectPr>
      </w:pPr>
    </w:p>
    <w:p w14:paraId="03B4E7D3" w14:textId="77777777" w:rsidR="00A77B3E" w:rsidRPr="00FB5D9F" w:rsidRDefault="00E62050">
      <w:pPr>
        <w:pStyle w:val="Heading1"/>
        <w:spacing w:before="100" w:after="0"/>
        <w:rPr>
          <w:rFonts w:ascii="Times New Roman" w:hAnsi="Times New Roman" w:cs="Times New Roman"/>
          <w:b w:val="0"/>
          <w:color w:val="000000"/>
          <w:sz w:val="24"/>
          <w:lang w:val="bg-BG"/>
        </w:rPr>
      </w:pPr>
      <w:bookmarkStart w:id="1" w:name="_Toc129599275"/>
      <w:r w:rsidRPr="00FB5D9F">
        <w:rPr>
          <w:rFonts w:ascii="Times New Roman" w:hAnsi="Times New Roman" w:cs="Times New Roman"/>
          <w:b w:val="0"/>
          <w:color w:val="000000"/>
          <w:sz w:val="24"/>
          <w:lang w:val="bg-BG"/>
        </w:rPr>
        <w:lastRenderedPageBreak/>
        <w:t xml:space="preserve">2. </w:t>
      </w:r>
      <w:r w:rsidR="000579C9" w:rsidRPr="00FB5D9F">
        <w:rPr>
          <w:rFonts w:ascii="Times New Roman" w:hAnsi="Times New Roman" w:cs="Times New Roman"/>
          <w:b w:val="0"/>
          <w:color w:val="000000"/>
          <w:sz w:val="24"/>
          <w:lang w:val="bg-BG"/>
        </w:rPr>
        <w:t>Специфични цели и техническа помощ</w:t>
      </w:r>
      <w:bookmarkEnd w:id="1"/>
    </w:p>
    <w:p w14:paraId="4E2E3CAE" w14:textId="77777777" w:rsidR="00A77B3E" w:rsidRPr="00FB5D9F" w:rsidRDefault="00A77B3E">
      <w:pPr>
        <w:spacing w:before="100"/>
        <w:rPr>
          <w:color w:val="000000"/>
          <w:sz w:val="0"/>
          <w:lang w:val="bg-BG"/>
        </w:rPr>
      </w:pPr>
    </w:p>
    <w:p w14:paraId="5EDAAD6F" w14:textId="77777777" w:rsidR="00A77B3E" w:rsidRPr="00FB5D9F" w:rsidRDefault="000579C9">
      <w:pPr>
        <w:spacing w:before="100"/>
        <w:rPr>
          <w:color w:val="000000"/>
          <w:sz w:val="12"/>
          <w:lang w:val="bg-BG"/>
        </w:rPr>
      </w:pPr>
      <w:r w:rsidRPr="00FB5D9F">
        <w:rPr>
          <w:color w:val="000000"/>
          <w:lang w:val="bg-BG"/>
        </w:rPr>
        <w:t>Основание: член 22, параграф 2 и параграф 4 от Регламент (ЕС) 2021/1060 (РОР)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5120"/>
        <w:gridCol w:w="2560"/>
      </w:tblGrid>
      <w:tr w:rsidR="000579C9" w14:paraId="6E17371D" w14:textId="77777777" w:rsidTr="000579C9">
        <w:trPr>
          <w:trHeight w:val="160"/>
          <w:tblHeader/>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3C6D72" w14:textId="77777777" w:rsidR="000579C9" w:rsidRDefault="000579C9" w:rsidP="000579C9">
            <w:pPr>
              <w:spacing w:before="100"/>
              <w:jc w:val="center"/>
              <w:rPr>
                <w:color w:val="000000"/>
              </w:rPr>
            </w:pPr>
            <w:r w:rsidRPr="00FB5D9F">
              <w:rPr>
                <w:color w:val="000000"/>
                <w:lang w:val="bg-BG"/>
              </w:rPr>
              <w:t xml:space="preserve"> </w:t>
            </w:r>
            <w:r w:rsidRPr="000579C9">
              <w:rPr>
                <w:color w:val="000000"/>
              </w:rPr>
              <w:t>Избор</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3F5407" w14:textId="77777777" w:rsidR="000579C9" w:rsidRDefault="000579C9" w:rsidP="000579C9">
            <w:pPr>
              <w:spacing w:before="100"/>
              <w:jc w:val="center"/>
              <w:rPr>
                <w:color w:val="000000"/>
              </w:rPr>
            </w:pPr>
            <w:r w:rsidRPr="00331A22">
              <w:t>Специфична цел или техническа помощ</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87716D" w14:textId="77777777" w:rsidR="000579C9" w:rsidRDefault="000579C9" w:rsidP="000579C9">
            <w:pPr>
              <w:spacing w:before="100"/>
              <w:jc w:val="center"/>
              <w:rPr>
                <w:color w:val="000000"/>
              </w:rPr>
            </w:pPr>
            <w:r w:rsidRPr="00331A22">
              <w:t>Вид действие</w:t>
            </w:r>
          </w:p>
        </w:tc>
      </w:tr>
      <w:tr w:rsidR="000579C9" w14:paraId="384864D4"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AA4F8C"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A52A7" w14:textId="77777777" w:rsidR="000579C9" w:rsidRDefault="000579C9" w:rsidP="000579C9">
            <w:pPr>
              <w:spacing w:before="100"/>
              <w:rPr>
                <w:color w:val="000000"/>
              </w:rPr>
            </w:pPr>
            <w:r w:rsidRPr="00331A22">
              <w:t>1. Обмен на информация</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018B43" w14:textId="77777777" w:rsidR="000579C9" w:rsidRDefault="000579C9" w:rsidP="000579C9">
            <w:pPr>
              <w:spacing w:before="100"/>
              <w:rPr>
                <w:color w:val="000000"/>
              </w:rPr>
            </w:pPr>
            <w:r w:rsidRPr="00331A22">
              <w:t>Стандартни действия</w:t>
            </w:r>
          </w:p>
        </w:tc>
      </w:tr>
      <w:tr w:rsidR="000579C9" w14:paraId="11E74B60"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50EA8A"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427B96" w14:textId="77777777" w:rsidR="000579C9" w:rsidRDefault="000579C9" w:rsidP="000579C9">
            <w:pPr>
              <w:spacing w:before="100"/>
              <w:rPr>
                <w:color w:val="000000"/>
              </w:rPr>
            </w:pPr>
            <w:r w:rsidRPr="00331A22">
              <w:t>1. Обмен на информация</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8BFFF6" w14:textId="77777777" w:rsidR="000579C9" w:rsidRDefault="000579C9" w:rsidP="000579C9">
            <w:pPr>
              <w:spacing w:before="100"/>
              <w:rPr>
                <w:color w:val="000000"/>
              </w:rPr>
            </w:pPr>
            <w:r w:rsidRPr="00331A22">
              <w:t>Специфични действия</w:t>
            </w:r>
          </w:p>
        </w:tc>
      </w:tr>
      <w:tr w:rsidR="000579C9" w14:paraId="0C3C93C8"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434E88"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289B23" w14:textId="77777777" w:rsidR="000579C9" w:rsidRDefault="000579C9" w:rsidP="000579C9">
            <w:pPr>
              <w:spacing w:before="100"/>
              <w:rPr>
                <w:color w:val="000000"/>
              </w:rPr>
            </w:pPr>
            <w:r w:rsidRPr="00331A22">
              <w:t>1. Обмен на информация</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D45E90" w14:textId="77777777" w:rsidR="000579C9" w:rsidRDefault="000579C9" w:rsidP="000579C9">
            <w:pPr>
              <w:spacing w:before="100"/>
              <w:rPr>
                <w:color w:val="000000"/>
              </w:rPr>
            </w:pPr>
            <w:r w:rsidRPr="00331A22">
              <w:t>Действия по приложение IV</w:t>
            </w:r>
          </w:p>
        </w:tc>
      </w:tr>
      <w:tr w:rsidR="000579C9" w14:paraId="1CA0BEB2"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FE0E7D"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7E990A" w14:textId="77777777" w:rsidR="000579C9" w:rsidRDefault="000579C9" w:rsidP="000579C9">
            <w:pPr>
              <w:spacing w:before="100"/>
              <w:rPr>
                <w:color w:val="000000"/>
              </w:rPr>
            </w:pPr>
            <w:r w:rsidRPr="00331A22">
              <w:t>1. Обмен на информация</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C20759" w14:textId="77777777" w:rsidR="000579C9" w:rsidRDefault="000579C9" w:rsidP="000579C9">
            <w:pPr>
              <w:spacing w:before="100"/>
              <w:rPr>
                <w:color w:val="000000"/>
              </w:rPr>
            </w:pPr>
            <w:r w:rsidRPr="00331A22">
              <w:t>Оперативна подкрепа</w:t>
            </w:r>
          </w:p>
        </w:tc>
      </w:tr>
      <w:tr w:rsidR="000579C9" w14:paraId="7DE35BF6"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C07294"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F86F48" w14:textId="77777777" w:rsidR="000579C9" w:rsidRDefault="000579C9" w:rsidP="000579C9">
            <w:pPr>
              <w:spacing w:before="100"/>
              <w:rPr>
                <w:color w:val="000000"/>
              </w:rPr>
            </w:pPr>
            <w:r w:rsidRPr="00331A22">
              <w:t>1. Обмен на информация</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D1FCFD" w14:textId="77777777" w:rsidR="000579C9" w:rsidRDefault="000579C9" w:rsidP="000579C9">
            <w:pPr>
              <w:spacing w:before="100"/>
              <w:rPr>
                <w:color w:val="000000"/>
              </w:rPr>
            </w:pPr>
            <w:r w:rsidRPr="00331A22">
              <w:t>Спешна помощ</w:t>
            </w:r>
          </w:p>
        </w:tc>
      </w:tr>
      <w:tr w:rsidR="000579C9" w14:paraId="5AAE357C"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4BD558"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4456E0" w14:textId="77777777" w:rsidR="000579C9" w:rsidRDefault="000579C9" w:rsidP="000579C9">
            <w:pPr>
              <w:spacing w:before="100"/>
              <w:rPr>
                <w:color w:val="000000"/>
              </w:rPr>
            </w:pPr>
            <w:r w:rsidRPr="00331A22">
              <w:t>2. Трансгранично сътрудничество</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C5BB46" w14:textId="77777777" w:rsidR="000579C9" w:rsidRDefault="000579C9" w:rsidP="000579C9">
            <w:pPr>
              <w:spacing w:before="100"/>
              <w:rPr>
                <w:color w:val="000000"/>
              </w:rPr>
            </w:pPr>
            <w:r w:rsidRPr="00331A22">
              <w:t>Стандартни действия</w:t>
            </w:r>
          </w:p>
        </w:tc>
      </w:tr>
      <w:tr w:rsidR="000579C9" w14:paraId="5D44FD60"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46B3B5"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69028A" w14:textId="77777777" w:rsidR="000579C9" w:rsidRDefault="000579C9" w:rsidP="000579C9">
            <w:pPr>
              <w:spacing w:before="100"/>
              <w:rPr>
                <w:color w:val="000000"/>
              </w:rPr>
            </w:pPr>
            <w:r w:rsidRPr="00331A22">
              <w:t>2. Трансгранично сътрудничество</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935588" w14:textId="77777777" w:rsidR="000579C9" w:rsidRDefault="000579C9" w:rsidP="000579C9">
            <w:pPr>
              <w:spacing w:before="100"/>
              <w:rPr>
                <w:color w:val="000000"/>
              </w:rPr>
            </w:pPr>
            <w:r w:rsidRPr="00331A22">
              <w:t>Специфични действия</w:t>
            </w:r>
          </w:p>
        </w:tc>
      </w:tr>
      <w:tr w:rsidR="000579C9" w14:paraId="78A31B1A"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B923D7"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A0D262" w14:textId="77777777" w:rsidR="000579C9" w:rsidRDefault="000579C9" w:rsidP="000579C9">
            <w:pPr>
              <w:spacing w:before="100"/>
              <w:rPr>
                <w:color w:val="000000"/>
              </w:rPr>
            </w:pPr>
            <w:r w:rsidRPr="00331A22">
              <w:t>2. Трансгранично сътрудничество</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B3ED4B" w14:textId="77777777" w:rsidR="000579C9" w:rsidRDefault="000579C9" w:rsidP="000579C9">
            <w:pPr>
              <w:spacing w:before="100"/>
              <w:rPr>
                <w:color w:val="000000"/>
              </w:rPr>
            </w:pPr>
            <w:r w:rsidRPr="00331A22">
              <w:t>Действия по приложение IV</w:t>
            </w:r>
          </w:p>
        </w:tc>
      </w:tr>
      <w:tr w:rsidR="000579C9" w14:paraId="0048AF20"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53B1E1"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DBBAEA" w14:textId="77777777" w:rsidR="000579C9" w:rsidRDefault="000579C9" w:rsidP="000579C9">
            <w:pPr>
              <w:spacing w:before="100"/>
              <w:rPr>
                <w:color w:val="000000"/>
              </w:rPr>
            </w:pPr>
            <w:r w:rsidRPr="00331A22">
              <w:t>2. Трансгранично сътрудничество</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9E62FF" w14:textId="77777777" w:rsidR="000579C9" w:rsidRDefault="000579C9" w:rsidP="000579C9">
            <w:pPr>
              <w:spacing w:before="100"/>
              <w:rPr>
                <w:color w:val="000000"/>
              </w:rPr>
            </w:pPr>
            <w:r w:rsidRPr="00331A22">
              <w:t>Оперативна подкрепа</w:t>
            </w:r>
          </w:p>
        </w:tc>
      </w:tr>
      <w:tr w:rsidR="000579C9" w14:paraId="319D824B"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7313F8"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21DE2" w14:textId="77777777" w:rsidR="000579C9" w:rsidRDefault="000579C9" w:rsidP="000579C9">
            <w:pPr>
              <w:spacing w:before="100"/>
              <w:rPr>
                <w:color w:val="000000"/>
              </w:rPr>
            </w:pPr>
            <w:r w:rsidRPr="00331A22">
              <w:t>2. Трансгранично сътрудничество</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D15B05" w14:textId="77777777" w:rsidR="000579C9" w:rsidRDefault="000579C9" w:rsidP="000579C9">
            <w:pPr>
              <w:spacing w:before="100"/>
              <w:rPr>
                <w:color w:val="000000"/>
              </w:rPr>
            </w:pPr>
            <w:r w:rsidRPr="00331A22">
              <w:t>Спешна помощ</w:t>
            </w:r>
          </w:p>
        </w:tc>
      </w:tr>
      <w:tr w:rsidR="000579C9" w14:paraId="7837F1EE"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9C48EC"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A638C3" w14:textId="77777777" w:rsidR="000579C9" w:rsidRDefault="000579C9" w:rsidP="000579C9">
            <w:pPr>
              <w:spacing w:before="100"/>
              <w:rPr>
                <w:color w:val="000000"/>
              </w:rPr>
            </w:pPr>
            <w:r w:rsidRPr="00331A22">
              <w:t>3. Предотвратяване и борбата с престъпността</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DC5F11" w14:textId="77777777" w:rsidR="000579C9" w:rsidRDefault="000579C9" w:rsidP="000579C9">
            <w:pPr>
              <w:spacing w:before="100"/>
              <w:rPr>
                <w:color w:val="000000"/>
              </w:rPr>
            </w:pPr>
            <w:r w:rsidRPr="00331A22">
              <w:t>Стандартни действия</w:t>
            </w:r>
          </w:p>
        </w:tc>
      </w:tr>
      <w:tr w:rsidR="000579C9" w14:paraId="4A44ADC4"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4920BD"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79AE14" w14:textId="77777777" w:rsidR="000579C9" w:rsidRDefault="000579C9" w:rsidP="000579C9">
            <w:pPr>
              <w:spacing w:before="100"/>
              <w:rPr>
                <w:color w:val="000000"/>
              </w:rPr>
            </w:pPr>
            <w:r w:rsidRPr="00331A22">
              <w:t>3. Предотвратяване и борбата с престъпността</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1810AE" w14:textId="77777777" w:rsidR="000579C9" w:rsidRDefault="000579C9" w:rsidP="000579C9">
            <w:pPr>
              <w:spacing w:before="100"/>
              <w:rPr>
                <w:color w:val="000000"/>
              </w:rPr>
            </w:pPr>
            <w:r w:rsidRPr="00331A22">
              <w:t>Специфични действия</w:t>
            </w:r>
          </w:p>
        </w:tc>
      </w:tr>
      <w:tr w:rsidR="000579C9" w14:paraId="0277420A"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CB07C7"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F63362" w14:textId="77777777" w:rsidR="000579C9" w:rsidRDefault="000579C9" w:rsidP="000579C9">
            <w:pPr>
              <w:spacing w:before="100"/>
              <w:rPr>
                <w:color w:val="000000"/>
              </w:rPr>
            </w:pPr>
            <w:r w:rsidRPr="00331A22">
              <w:t>3. Предотвратяване и борбата с престъпността</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1E2B7D" w14:textId="77777777" w:rsidR="000579C9" w:rsidRDefault="000579C9" w:rsidP="000579C9">
            <w:pPr>
              <w:spacing w:before="100"/>
              <w:rPr>
                <w:color w:val="000000"/>
              </w:rPr>
            </w:pPr>
            <w:r w:rsidRPr="00331A22">
              <w:t>Действия по приложение IV</w:t>
            </w:r>
          </w:p>
        </w:tc>
      </w:tr>
      <w:tr w:rsidR="000579C9" w14:paraId="08B8FB25"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2D3520"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5BEF02" w14:textId="77777777" w:rsidR="000579C9" w:rsidRDefault="000579C9" w:rsidP="000579C9">
            <w:pPr>
              <w:spacing w:before="100"/>
              <w:rPr>
                <w:color w:val="000000"/>
              </w:rPr>
            </w:pPr>
            <w:r w:rsidRPr="00331A22">
              <w:t>3. Предотвратяване и борбата с престъпността</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ECFD29" w14:textId="77777777" w:rsidR="000579C9" w:rsidRDefault="000579C9" w:rsidP="000579C9">
            <w:pPr>
              <w:spacing w:before="100"/>
              <w:rPr>
                <w:color w:val="000000"/>
              </w:rPr>
            </w:pPr>
            <w:r w:rsidRPr="00331A22">
              <w:t>Оперативна подкрепа</w:t>
            </w:r>
          </w:p>
        </w:tc>
      </w:tr>
      <w:tr w:rsidR="000579C9" w14:paraId="5558A828"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8767A0"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9F2CE8" w14:textId="77777777" w:rsidR="000579C9" w:rsidRDefault="000579C9" w:rsidP="000579C9">
            <w:pPr>
              <w:spacing w:before="100"/>
              <w:rPr>
                <w:color w:val="000000"/>
              </w:rPr>
            </w:pPr>
            <w:r w:rsidRPr="00331A22">
              <w:t>3. Предотвратяване и борбата с престъпността</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8A9A91" w14:textId="77777777" w:rsidR="000579C9" w:rsidRDefault="000579C9" w:rsidP="000579C9">
            <w:pPr>
              <w:spacing w:before="100"/>
              <w:rPr>
                <w:color w:val="000000"/>
              </w:rPr>
            </w:pPr>
            <w:r w:rsidRPr="00331A22">
              <w:t>Спешна помощ</w:t>
            </w:r>
          </w:p>
        </w:tc>
      </w:tr>
      <w:tr w:rsidR="000579C9" w14:paraId="7E52F924"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37ED8F"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A1576D" w14:textId="77777777" w:rsidR="000579C9" w:rsidRDefault="000579C9" w:rsidP="000579C9">
            <w:pPr>
              <w:spacing w:before="100"/>
              <w:rPr>
                <w:color w:val="000000"/>
              </w:rPr>
            </w:pPr>
            <w:r w:rsidRPr="00331A22">
              <w:t>TA.36(5). Техническа помощ – единна ставка (чл. 36(5) РОР)</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A3A739" w14:textId="77777777" w:rsidR="000579C9" w:rsidRDefault="000579C9" w:rsidP="000579C9">
            <w:pPr>
              <w:spacing w:before="100"/>
              <w:rPr>
                <w:color w:val="000000"/>
              </w:rPr>
            </w:pPr>
          </w:p>
        </w:tc>
      </w:tr>
      <w:tr w:rsidR="000579C9" w14:paraId="0BABE5B9" w14:textId="77777777" w:rsidTr="000579C9">
        <w:trPr>
          <w:trHeight w:val="160"/>
        </w:trPr>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2CC633" w14:textId="77777777" w:rsidR="000579C9" w:rsidRDefault="000579C9" w:rsidP="000579C9">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DA6815">
              <w:rPr>
                <w:color w:val="000000"/>
              </w:rPr>
            </w:r>
            <w:r w:rsidR="00DA6815">
              <w:rPr>
                <w:color w:val="000000"/>
              </w:rPr>
              <w:fldChar w:fldCharType="separate"/>
            </w:r>
            <w:r>
              <w:rPr>
                <w:color w:val="000000"/>
              </w:rPr>
              <w:fldChar w:fldCharType="end"/>
            </w:r>
            <w:r>
              <w:rPr>
                <w:color w:val="000000"/>
              </w:rPr>
              <w:t xml:space="preserve"> </w:t>
            </w:r>
          </w:p>
        </w:tc>
        <w:tc>
          <w:tcPr>
            <w:tcW w:w="51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BC7C1A" w14:textId="77777777" w:rsidR="000579C9" w:rsidRDefault="000579C9" w:rsidP="000579C9">
            <w:pPr>
              <w:spacing w:before="100"/>
              <w:rPr>
                <w:color w:val="000000"/>
              </w:rPr>
            </w:pPr>
            <w:r w:rsidRPr="00331A22">
              <w:t>TA.37. Техническа помощ – финансиране, което не е свързано с разходите (чл. 37 РОР)</w:t>
            </w:r>
          </w:p>
        </w:tc>
        <w:tc>
          <w:tcPr>
            <w:tcW w:w="25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F1C8AA" w14:textId="77777777" w:rsidR="000579C9" w:rsidRDefault="000579C9" w:rsidP="000579C9">
            <w:pPr>
              <w:spacing w:before="100"/>
              <w:rPr>
                <w:color w:val="000000"/>
              </w:rPr>
            </w:pPr>
          </w:p>
        </w:tc>
      </w:tr>
    </w:tbl>
    <w:p w14:paraId="4CECCBD6" w14:textId="77777777" w:rsidR="00A77B3E" w:rsidRDefault="00A77B3E">
      <w:pPr>
        <w:spacing w:before="100"/>
        <w:jc w:val="center"/>
        <w:rPr>
          <w:color w:val="000000"/>
        </w:rPr>
        <w:sectPr w:rsidR="00A77B3E">
          <w:headerReference w:type="even" r:id="rId11"/>
          <w:headerReference w:type="default" r:id="rId12"/>
          <w:footerReference w:type="even" r:id="rId13"/>
          <w:footerReference w:type="default" r:id="rId14"/>
          <w:headerReference w:type="first" r:id="rId15"/>
          <w:footerReference w:type="first" r:id="rId16"/>
          <w:pgSz w:w="11906" w:h="16838"/>
          <w:pgMar w:top="720" w:right="936" w:bottom="864" w:left="720" w:header="0" w:footer="72" w:gutter="0"/>
          <w:cols w:space="720"/>
          <w:noEndnote/>
          <w:docGrid w:linePitch="360"/>
        </w:sectPr>
      </w:pPr>
    </w:p>
    <w:p w14:paraId="3354B96B" w14:textId="77777777" w:rsidR="00A77B3E" w:rsidRDefault="00E62050">
      <w:pPr>
        <w:pStyle w:val="Heading2"/>
        <w:spacing w:before="100" w:after="0"/>
        <w:rPr>
          <w:rFonts w:ascii="Times New Roman" w:hAnsi="Times New Roman" w:cs="Times New Roman"/>
          <w:b w:val="0"/>
          <w:i w:val="0"/>
          <w:color w:val="000000"/>
          <w:sz w:val="24"/>
        </w:rPr>
      </w:pPr>
      <w:bookmarkStart w:id="2" w:name="_Toc129599276"/>
      <w:r>
        <w:rPr>
          <w:rFonts w:ascii="Times New Roman" w:hAnsi="Times New Roman" w:cs="Times New Roman"/>
          <w:b w:val="0"/>
          <w:i w:val="0"/>
          <w:color w:val="000000"/>
          <w:sz w:val="24"/>
        </w:rPr>
        <w:lastRenderedPageBreak/>
        <w:t xml:space="preserve">2.1. </w:t>
      </w:r>
      <w:r w:rsidR="00585400" w:rsidRPr="00585400">
        <w:rPr>
          <w:rFonts w:ascii="Times New Roman" w:hAnsi="Times New Roman" w:cs="Times New Roman"/>
          <w:b w:val="0"/>
          <w:i w:val="0"/>
          <w:color w:val="000000"/>
          <w:sz w:val="24"/>
        </w:rPr>
        <w:t>Специфична цел: 1. Обмен на информация</w:t>
      </w:r>
      <w:bookmarkEnd w:id="2"/>
    </w:p>
    <w:p w14:paraId="545A0E31" w14:textId="77777777" w:rsidR="00A77B3E" w:rsidRDefault="00A77B3E">
      <w:pPr>
        <w:spacing w:before="100"/>
        <w:rPr>
          <w:color w:val="000000"/>
          <w:sz w:val="0"/>
        </w:rPr>
      </w:pPr>
    </w:p>
    <w:p w14:paraId="1DDF6337" w14:textId="77777777" w:rsidR="00A77B3E" w:rsidRDefault="00E62050">
      <w:pPr>
        <w:pStyle w:val="Heading3"/>
        <w:spacing w:before="100" w:after="0"/>
        <w:rPr>
          <w:rFonts w:ascii="Times New Roman" w:hAnsi="Times New Roman" w:cs="Times New Roman"/>
          <w:b w:val="0"/>
          <w:color w:val="000000"/>
          <w:sz w:val="24"/>
        </w:rPr>
      </w:pPr>
      <w:bookmarkStart w:id="3" w:name="_Toc129599277"/>
      <w:r>
        <w:rPr>
          <w:rFonts w:ascii="Times New Roman" w:hAnsi="Times New Roman" w:cs="Times New Roman"/>
          <w:b w:val="0"/>
          <w:color w:val="000000"/>
          <w:sz w:val="24"/>
        </w:rPr>
        <w:t xml:space="preserve">2.1.1. </w:t>
      </w:r>
      <w:r w:rsidR="00585400" w:rsidRPr="00585400">
        <w:rPr>
          <w:rFonts w:ascii="Times New Roman" w:hAnsi="Times New Roman" w:cs="Times New Roman"/>
          <w:b w:val="0"/>
          <w:color w:val="000000"/>
          <w:sz w:val="24"/>
        </w:rPr>
        <w:t>Описание на специфичната цел</w:t>
      </w:r>
      <w:bookmarkEnd w:id="3"/>
    </w:p>
    <w:p w14:paraId="1DEE00A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2F6D49" w14:paraId="4017D41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9C1867" w14:textId="77777777" w:rsidR="00A77B3E" w:rsidRDefault="00A77B3E">
            <w:pPr>
              <w:spacing w:before="100"/>
              <w:rPr>
                <w:color w:val="000000"/>
                <w:sz w:val="0"/>
              </w:rPr>
            </w:pPr>
          </w:p>
          <w:p w14:paraId="55610C6C" w14:textId="77777777" w:rsidR="00585400" w:rsidRPr="005862E2" w:rsidRDefault="00585400" w:rsidP="00585400">
            <w:pPr>
              <w:spacing w:before="60" w:after="60"/>
              <w:jc w:val="both"/>
            </w:pPr>
            <w:r w:rsidRPr="005862E2">
              <w:t>През последните години компетентните структури в МВР активно използват съществуващите канали и инструменти за обмен на информация и сътрудничество в областта на правоприлагането. Бяха подписани и се изпълняват нови двустранни и</w:t>
            </w:r>
            <w:r w:rsidRPr="001B724C">
              <w:t xml:space="preserve"> </w:t>
            </w:r>
            <w:r w:rsidRPr="005862E2">
              <w:t>многостранни споразумения за полицейско сътрудничество и обмен на информация и беше разширен обхватът на партньорите. Обменът на информация в МВР се координира от дирекция „Международно оперативно сътрудничество“ (ДМОС-МВР), която е определена като Национално звено „Европол“, Бюро „СИРЕНЕ“, Национално централно бюро „Интерпол“.</w:t>
            </w:r>
          </w:p>
          <w:p w14:paraId="07265F62" w14:textId="77777777" w:rsidR="00585400" w:rsidRPr="005862E2" w:rsidRDefault="00585400" w:rsidP="00585400">
            <w:pPr>
              <w:spacing w:before="60" w:after="60"/>
              <w:jc w:val="both"/>
            </w:pPr>
            <w:r w:rsidRPr="005862E2">
              <w:t xml:space="preserve">Националното звено за контакт по линия на борбата с нелегалните огнестрелни оръжия също е създадено в ДМОС-МВР.  </w:t>
            </w:r>
            <w:r>
              <w:t>В</w:t>
            </w:r>
            <w:r w:rsidRPr="005862E2">
              <w:t xml:space="preserve"> него се включват и други структури на МВР</w:t>
            </w:r>
            <w:r w:rsidRPr="001B724C">
              <w:t xml:space="preserve"> </w:t>
            </w:r>
            <w:r w:rsidRPr="005862E2">
              <w:t>– Главна дирекция „Национална полиция“ (ГДНП), Главна дирекция „Борба с организираната престъпност“ (ГДБОП) и Национален институт по криминалистика (НИК). Основните функции на звеното са свързани с координация на сътрудничеството между заинтересованите страни, както и с обмена на информация с международните партньори.</w:t>
            </w:r>
          </w:p>
          <w:p w14:paraId="6625E567" w14:textId="77777777" w:rsidR="00585400" w:rsidRPr="005862E2" w:rsidRDefault="00585400" w:rsidP="00585400">
            <w:pPr>
              <w:spacing w:before="60" w:after="60"/>
              <w:jc w:val="both"/>
            </w:pPr>
            <w:r w:rsidRPr="005862E2">
              <w:t>Националното звено има достъп до национални оперативни бази данни, национална база данни за разрешителните за оръжия, ШИС, балистична база данни, Информационна система на Европол, както и всички налични канали за международен обмен на информация (I 24/7, SIENA и т.н.).</w:t>
            </w:r>
          </w:p>
          <w:p w14:paraId="56DE801A" w14:textId="77777777" w:rsidR="00585400" w:rsidRPr="005862E2" w:rsidRDefault="00585400" w:rsidP="00585400">
            <w:pPr>
              <w:spacing w:before="60" w:after="60"/>
              <w:jc w:val="both"/>
            </w:pPr>
            <w:r w:rsidRPr="005862E2">
              <w:t xml:space="preserve">Осъществява се междуведомствено сътрудничество, за да се позволи обмен на оперативна и стратегическа информация на национално и международно ниво. Звеното изпълнява проверки  при запитвания от национални правоприлагащи органи и партньори от други държави, обменя информация и координира участието на България в международни оперативни дейности. Предвижда се подобряване на сътрудничеството в рамките на звеното за борба с нелегалните огнестрелни оръжия по по-структуриран начин чрез разписване на изрични правила с обяснения на задачите на различните участници.  </w:t>
            </w:r>
          </w:p>
          <w:p w14:paraId="30E53D90" w14:textId="77777777" w:rsidR="00585400" w:rsidRPr="005862E2" w:rsidRDefault="00585400" w:rsidP="00585400">
            <w:pPr>
              <w:spacing w:before="60" w:after="60"/>
              <w:jc w:val="both"/>
            </w:pPr>
            <w:r w:rsidRPr="005862E2">
              <w:t>В ГДНП е създаден Единен административен регистър за контрол на общоопасните средства (ЕАР-КОС) за законно притежаваните огнестрелни оръжия и е предназначен за контрол на производството, търговията, съхранението, носенето, използването и транспортирането на оръжия, оръжия, боеприпаси, взривни вещества и пиротехнически изделия.</w:t>
            </w:r>
          </w:p>
          <w:p w14:paraId="6577882A" w14:textId="7E24FC2B" w:rsidR="00585400" w:rsidRPr="001B724C" w:rsidRDefault="00585400" w:rsidP="00585400">
            <w:pPr>
              <w:spacing w:before="60" w:after="60"/>
              <w:jc w:val="both"/>
            </w:pPr>
            <w:r w:rsidRPr="005862E2">
              <w:t>Необходимостта за справяне с нарасналите заплахи за сигурността и изпълнението на законодателството на ЕС доведоха до интензивен обмен на информация. Всяка година ДМОС-МВР, която обединява каналите за обмен на информация по линия на Европол, „СИРЕНЕ“, Интерпол и двустранното сътрудничество, обменя голям обем от информационни документи с чуждестранни и национални компетентни органи. Броят им за 2017 г. е 203 659, за 2018 г. – 213</w:t>
            </w:r>
            <w:r w:rsidR="0098574A">
              <w:rPr>
                <w:lang w:val="bg-BG"/>
              </w:rPr>
              <w:t>-</w:t>
            </w:r>
            <w:r w:rsidRPr="005862E2">
              <w:t>102 и за 2019 г. – 203</w:t>
            </w:r>
            <w:r w:rsidR="0098574A">
              <w:rPr>
                <w:lang w:val="bg-BG"/>
              </w:rPr>
              <w:t>-</w:t>
            </w:r>
            <w:r w:rsidRPr="005862E2">
              <w:t xml:space="preserve">232. По-голямата част от документите се отнасят до издирвани лица и предмети, разследване на престъпни групи, като по-този начин се подпомагат правоприлагащите органи в борбата с незаконни трансгранични дейности. </w:t>
            </w:r>
          </w:p>
          <w:p w14:paraId="35AF9EB5" w14:textId="77777777" w:rsidR="00585400" w:rsidRPr="005862E2" w:rsidRDefault="00585400" w:rsidP="00585400">
            <w:pPr>
              <w:spacing w:before="60" w:after="60"/>
              <w:jc w:val="both"/>
            </w:pPr>
            <w:r w:rsidRPr="005862E2">
              <w:t xml:space="preserve">В рамките на ФВС-Полиция беше осигурена подкрепа за развитие, надграждане и поддръжка на ИТ системи, бази данни и регистри (включително за ЕАР-КОС), за да се допринесе за ефективното прилагане на механизмите за оперативно сътрудничество. Финансиране от държавния бюджет и други източници на ЕС (Оперативна програма „Добро управление“) допълни усилията за развиване на ИТ системи в области извън обхвата на ФВС. В рамките на НП по ФВС-Полиция бе предоставена подкрепа и за разработване на необходимите ИТ решения за повишаване на обмена на информация и подобряване на оперативната съвместимост. </w:t>
            </w:r>
          </w:p>
          <w:p w14:paraId="2D684B5D" w14:textId="77777777" w:rsidR="00585400" w:rsidRPr="005862E2" w:rsidRDefault="00585400" w:rsidP="00585400">
            <w:pPr>
              <w:spacing w:before="60" w:after="60"/>
              <w:jc w:val="both"/>
            </w:pPr>
            <w:r w:rsidRPr="005862E2">
              <w:t xml:space="preserve">Продължава непрекъснатият процес на оптимизиране на процесите на управление на информацията в рамките на международното полицейско сътрудничество. Въведените и предстоящи промени в законодателната рамка </w:t>
            </w:r>
            <w:r>
              <w:t xml:space="preserve">(по отношение на ШИС и Европол) </w:t>
            </w:r>
            <w:r w:rsidRPr="005862E2">
              <w:t xml:space="preserve">водят до необходимостта от въвеждане на по-модерни инструменти за обмен на информация и комуникация за подпомагане на сътрудничеството в областта на правоприлагането и международното сътрудничество. </w:t>
            </w:r>
            <w:r>
              <w:t xml:space="preserve">Необходими са също така инвестиции за обучения на компетентните органи, за да </w:t>
            </w:r>
            <w:r>
              <w:lastRenderedPageBreak/>
              <w:t xml:space="preserve">се повиши ефикасността и бързината при взаимодействието в хода на оперативното сътрудничество. </w:t>
            </w:r>
          </w:p>
          <w:p w14:paraId="151FFED0" w14:textId="77777777" w:rsidR="00585400" w:rsidRPr="005862E2" w:rsidRDefault="00585400" w:rsidP="00585400">
            <w:pPr>
              <w:spacing w:before="60" w:after="60"/>
              <w:jc w:val="both"/>
            </w:pPr>
            <w:r w:rsidRPr="005862E2">
              <w:t>Постоянно променящите се и нови изисквания за обмен на информация и данни от и с други държави членки (ДЧ) и ЕС, налагат високи изисквания към работоспособността, сигурността и надеждността на АИС на МВР и тяхното поддържане на съответното технологично ниво.</w:t>
            </w:r>
          </w:p>
          <w:p w14:paraId="077F24BE" w14:textId="77777777" w:rsidR="00585400" w:rsidRPr="005862E2" w:rsidRDefault="00585400" w:rsidP="00585400">
            <w:pPr>
              <w:spacing w:before="60" w:after="60"/>
              <w:jc w:val="both"/>
            </w:pPr>
            <w:r w:rsidRPr="005862E2">
              <w:t xml:space="preserve">НИК-МВР поддържа три информационни системи за регулярен обмен на дактилоскопна, ДНК и балистична бази данни с ДЧ. Системите са изградени и модернизирани с финансиране от националния бюджет и от ФВС-Полиция. </w:t>
            </w:r>
          </w:p>
          <w:p w14:paraId="33B142D3" w14:textId="77777777" w:rsidR="00585400" w:rsidRPr="005862E2" w:rsidRDefault="00585400" w:rsidP="00585400">
            <w:pPr>
              <w:spacing w:before="60" w:after="60"/>
              <w:jc w:val="both"/>
            </w:pPr>
            <w:r w:rsidRPr="005862E2">
              <w:t>През 2009 г. във връзка с изпълнение на разпоредбите на Договора от Прюм и Решение 2008/615/ПВР на Съвета Националната автоматизирана дактилоскопна идентификационна система (AFIS) беше разширена с нов модул с възможности за автоматизирано търсене и обмен на дактилоскопна информация с ДЧ на ЕС. От м</w:t>
            </w:r>
            <w:r>
              <w:t>.</w:t>
            </w:r>
            <w:r w:rsidRPr="005862E2">
              <w:t xml:space="preserve"> декември 2010 г. България започна регулярен обмен на дактилоскопни данни с ДЧ на ЕС (в момента с 22 ДЧ на ЕС).</w:t>
            </w:r>
          </w:p>
          <w:p w14:paraId="325D5C2A" w14:textId="77777777" w:rsidR="00585400" w:rsidRPr="005862E2" w:rsidRDefault="00585400" w:rsidP="00585400">
            <w:pPr>
              <w:spacing w:before="60" w:after="60"/>
              <w:jc w:val="both"/>
            </w:pPr>
            <w:r w:rsidRPr="005862E2">
              <w:t>През 2017 г. Националната автоматизирана дактилоскопна идентификационна система беше обновена. Към настоящия момент в системата AFIS се съхраняват над 650 000 отпечатъци от пръсти на лица с криминална регистрация и над 100 000 следи от неразкрити престъпления. Годишно в системата се въвеждат между 25 000 – 30 000 лица. По линия на международния обмен в рамките на Прюм се обменят между ДЧ над 15 000 отпечатъци от пръсти и над 9 600 следи от неразкрити престъпления.</w:t>
            </w:r>
          </w:p>
          <w:p w14:paraId="42A583FC" w14:textId="77777777" w:rsidR="00585400" w:rsidRPr="005862E2" w:rsidRDefault="00585400" w:rsidP="00585400">
            <w:pPr>
              <w:spacing w:before="60" w:after="60"/>
              <w:jc w:val="both"/>
            </w:pPr>
            <w:r w:rsidRPr="005862E2">
              <w:t>Новите предизвикателства като световния тероризъм и незаконната миграция засилват необходимостта от разширяване на функционалностите на AFIS чрез включване на нов модул (лицево разпознаване)</w:t>
            </w:r>
            <w:r>
              <w:t>. Новият модул ще</w:t>
            </w:r>
            <w:r w:rsidRPr="005862E2">
              <w:t xml:space="preserve"> позволява въвеждане, съхраняване, автоматизирана проверка и обмен на лицеви изображения с държавите членки на ЕС за идентифициране на лицата, които представляват заплаха за националната сигурност и безопасност. </w:t>
            </w:r>
            <w:r w:rsidRPr="00C86F3B">
              <w:t>Изпълнението ще започне след приемането на Прюм II и след консултация с Комисията за защита на личните данни (провеждане на оценка на въздействието върху защитата на данните и изменения в националното законодателство, ако е необходимо).</w:t>
            </w:r>
          </w:p>
          <w:p w14:paraId="62C53462" w14:textId="77777777" w:rsidR="00585400" w:rsidRPr="005862E2" w:rsidRDefault="00585400" w:rsidP="00585400">
            <w:pPr>
              <w:spacing w:before="60" w:after="60"/>
              <w:jc w:val="both"/>
            </w:pPr>
            <w:r w:rsidRPr="005862E2">
              <w:t>Националната ДНК база данни е изградена и въведена в експлоатация през 1999 г. От 2010 г. започна регулярен международен обмен на ДНК данни с ДЧ на ЕС. Към момент</w:t>
            </w:r>
            <w:r>
              <w:t>а България обменя ДНК данни с 16</w:t>
            </w:r>
            <w:r w:rsidRPr="005862E2">
              <w:t xml:space="preserve"> ДЧ.</w:t>
            </w:r>
          </w:p>
          <w:p w14:paraId="42778BA3" w14:textId="77777777" w:rsidR="00585400" w:rsidRPr="005862E2" w:rsidRDefault="00585400" w:rsidP="00585400">
            <w:pPr>
              <w:spacing w:before="60" w:after="60"/>
              <w:jc w:val="both"/>
            </w:pPr>
            <w:r w:rsidRPr="005862E2">
              <w:t>През 2017 г. бе обновено хадуерното оборудване, извърши се миграция на базата данни към разработената от ФБР система CODIS и се разработи специализиран софтуерен продукт за поддръжка на демографската база данни, въвеждане на ново получените ДНК профили в системата CODIS.</w:t>
            </w:r>
            <w:r>
              <w:t xml:space="preserve"> </w:t>
            </w:r>
            <w:r w:rsidRPr="005862E2">
              <w:t xml:space="preserve">Към настоящия момент в базата данни се съхраняват профилите на над </w:t>
            </w:r>
            <w:r>
              <w:t>6</w:t>
            </w:r>
            <w:r w:rsidRPr="005862E2">
              <w:t>0 000 лица. Годишно броят на новите полицейски регистрации е в рамките на 25 000 – 30 000 лица. По линия на международния обмен в рамките на Прюм се обменят между ДЧ над 10 000 ДНК профили.</w:t>
            </w:r>
            <w:r>
              <w:t xml:space="preserve"> </w:t>
            </w:r>
            <w:r w:rsidRPr="005862E2">
              <w:t xml:space="preserve">Капацитетът на системата </w:t>
            </w:r>
            <w:r>
              <w:t>скоро щ</w:t>
            </w:r>
            <w:r w:rsidRPr="005862E2">
              <w:t>е</w:t>
            </w:r>
            <w:r>
              <w:t xml:space="preserve"> бъде</w:t>
            </w:r>
            <w:r w:rsidRPr="005862E2">
              <w:t xml:space="preserve"> недостатъчен за профилиране на действително подлежащите на полицейска регистрация лица.</w:t>
            </w:r>
          </w:p>
          <w:p w14:paraId="7F34C59A" w14:textId="77777777" w:rsidR="00585400" w:rsidRDefault="00585400" w:rsidP="00585400">
            <w:pPr>
              <w:spacing w:before="60" w:after="60"/>
              <w:jc w:val="both"/>
            </w:pPr>
            <w:r w:rsidRPr="005862E2">
              <w:t xml:space="preserve">Автоматизираната балистична идентификационна система (АБИС) е в експлоатация от 2005 г. В нея се въвеждат гилзи и куршуми </w:t>
            </w:r>
            <w:r>
              <w:t>–</w:t>
            </w:r>
            <w:r w:rsidRPr="005862E2">
              <w:t xml:space="preserve"> експериментални образци от незаконно притежавани огнестрелни оръжия, иззети на територията на</w:t>
            </w:r>
            <w:r>
              <w:t xml:space="preserve"> страната, с цел да се установи</w:t>
            </w:r>
            <w:r w:rsidRPr="005862E2">
              <w:t xml:space="preserve"> дали с тях са извършвани престъпления. </w:t>
            </w:r>
          </w:p>
          <w:p w14:paraId="268D9989" w14:textId="77777777" w:rsidR="00585400" w:rsidRPr="005862E2" w:rsidRDefault="00585400" w:rsidP="00585400">
            <w:pPr>
              <w:spacing w:before="60" w:after="60"/>
              <w:jc w:val="both"/>
            </w:pPr>
            <w:r w:rsidRPr="005862E2">
              <w:t>През 2017 г. системата бе обновена и страната ни бе включена в международната мрежа на ИНТЕРПОЛ – IBIN за осъществяване на международен обмен на балистични данни между ДЧ. В системата е създадена и въведена специализирана балистична база данни. От 2020 г</w:t>
            </w:r>
            <w:r>
              <w:t>.</w:t>
            </w:r>
            <w:r w:rsidRPr="005862E2">
              <w:t xml:space="preserve"> стартира въвеждането в системата и на гилзи и куршуми от изгубени и откраднати оръжия на територията на страната.</w:t>
            </w:r>
            <w:r>
              <w:t xml:space="preserve"> </w:t>
            </w:r>
            <w:r w:rsidRPr="005862E2">
              <w:t>За да се гарантира оперативната съвместимост при международния обмен на балистични данни с другите държави, както и надеждното и безпроблемно функциониране 24 часа</w:t>
            </w:r>
            <w:r w:rsidRPr="001B724C">
              <w:t xml:space="preserve"> в денонощието </w:t>
            </w:r>
            <w:r>
              <w:t>и</w:t>
            </w:r>
            <w:r w:rsidRPr="005862E2">
              <w:t xml:space="preserve"> 7дни в седмицата, е необходимо да бъдат увеличени функционалностите на системата и да бъдат осигурени постоянна актуализация и поддръжка в периода след 202</w:t>
            </w:r>
            <w:r>
              <w:t>2</w:t>
            </w:r>
            <w:r w:rsidRPr="005862E2">
              <w:t xml:space="preserve"> г.</w:t>
            </w:r>
          </w:p>
          <w:p w14:paraId="2147E886" w14:textId="77777777" w:rsidR="00585400" w:rsidRPr="005862E2" w:rsidRDefault="00585400" w:rsidP="00585400">
            <w:pPr>
              <w:spacing w:before="60" w:after="60"/>
              <w:jc w:val="both"/>
            </w:pPr>
            <w:r w:rsidRPr="005862E2">
              <w:t>Връзката с Националното звено за борба с незаконните огнестрелни оръжия се осъществява чрез експертите от НИК-МВР, които участват в него и предоставят данни от АБИС.</w:t>
            </w:r>
          </w:p>
          <w:p w14:paraId="5EB028A8" w14:textId="77777777" w:rsidR="00585400" w:rsidRPr="005862E2" w:rsidRDefault="00585400" w:rsidP="00585400">
            <w:pPr>
              <w:spacing w:before="60" w:after="60"/>
              <w:jc w:val="both"/>
            </w:pPr>
            <w:r w:rsidRPr="005862E2">
              <w:lastRenderedPageBreak/>
              <w:t>Националното звено за резервационни данни за пътниците беше създадено с финансовата подкрепа на Програмата на ЕС за превенция и борба с престъпността и беше развито с финансиране от НП по ФВС и ФВС Действия на Съюза в съответствие с Директива (ЕС) 2016/681 и Директива на Съвета 2004/82/ЕО. Двете директиви са транспонирани на национално ниво чрез въвеждане на изискванията им в разпоредбите на Закона за Държавна агенция „Национална сигурност“, чрез което се въвежда възможността за прилагане на подход</w:t>
            </w:r>
            <w:r>
              <w:t>а</w:t>
            </w:r>
            <w:r w:rsidRPr="005862E2">
              <w:t xml:space="preserve"> </w:t>
            </w:r>
            <w:r>
              <w:t>„на едно гише“</w:t>
            </w:r>
            <w:r w:rsidRPr="005862E2">
              <w:t xml:space="preserve"> за събиране на </w:t>
            </w:r>
            <w:r w:rsidRPr="00FA1E88">
              <w:t xml:space="preserve">предварителни данни на пътниците </w:t>
            </w:r>
            <w:r w:rsidRPr="005862E2">
              <w:t xml:space="preserve">и </w:t>
            </w:r>
            <w:r w:rsidRPr="00FA1E88">
              <w:t xml:space="preserve">резервационни </w:t>
            </w:r>
            <w:r w:rsidRPr="005862E2">
              <w:t>данни.</w:t>
            </w:r>
          </w:p>
          <w:p w14:paraId="271495EA" w14:textId="77777777" w:rsidR="00585400" w:rsidRPr="001B724C" w:rsidRDefault="00585400" w:rsidP="00585400">
            <w:pPr>
              <w:spacing w:before="60" w:after="60"/>
              <w:jc w:val="both"/>
            </w:pPr>
            <w:r w:rsidRPr="005862E2">
              <w:t xml:space="preserve">В условията на увеличаване на рисковете за сигурността, Националното звено е увеличило близо 10 пъти обмена на информация както с националните компетентни органи, така и с другите звена за обработка на данни за пътниците в ДЧ. </w:t>
            </w:r>
          </w:p>
          <w:p w14:paraId="5BC80687" w14:textId="77777777" w:rsidR="00585400" w:rsidRPr="005862E2" w:rsidRDefault="00585400" w:rsidP="00585400">
            <w:pPr>
              <w:spacing w:before="60" w:after="60"/>
              <w:jc w:val="both"/>
            </w:pPr>
            <w:r w:rsidRPr="005862E2">
              <w:t>Тенденцията е и обмен</w:t>
            </w:r>
            <w:r>
              <w:t>ът</w:t>
            </w:r>
            <w:r w:rsidRPr="005862E2">
              <w:t xml:space="preserve"> на данни с трети държави да се разширява. По силата на двустранно споразумение българското звено обменя информация с компетентните органи на САЩ. ЕС вече подписа споразумения, с които на превозвачи от ЕС се разрешава да предават </w:t>
            </w:r>
            <w:r w:rsidRPr="00FA1E88">
              <w:t xml:space="preserve">резервационни </w:t>
            </w:r>
            <w:r w:rsidRPr="005862E2">
              <w:t xml:space="preserve">данни на САЩ и Австралия. Преговорите за преразглеждане на предвиденото споразумение с Канада относно резервационните данни на пътниците приключиха и предстои да бъдат финализирани. През февруари 2020 г. Съветът прие решение за разрешаване на започването на преговори между ЕС и Япония за споразумение относно резервационните данни на пътниците. </w:t>
            </w:r>
          </w:p>
          <w:p w14:paraId="23AF3EB0" w14:textId="77777777" w:rsidR="00585400" w:rsidRPr="005862E2" w:rsidRDefault="00585400" w:rsidP="00585400">
            <w:pPr>
              <w:spacing w:before="60" w:after="60"/>
              <w:jc w:val="both"/>
            </w:pPr>
            <w:r w:rsidRPr="005862E2">
              <w:t xml:space="preserve">Необходимо е звеното за данни за пътниците да продължи да развива аналитичните и техническите си възможности за обработка и използване на данни за пътниците, което изисква допълнителни инвестиции в ИТ оборудване и за повишаване на уменията на персонала в съответствие с изискванията на общите протоколи и формати за данни. </w:t>
            </w:r>
          </w:p>
          <w:p w14:paraId="1504B105" w14:textId="77777777" w:rsidR="00585400" w:rsidRPr="005862E2" w:rsidRDefault="00585400" w:rsidP="00585400">
            <w:pPr>
              <w:spacing w:before="60" w:after="60"/>
              <w:jc w:val="both"/>
            </w:pPr>
            <w:r w:rsidRPr="005862E2">
              <w:t xml:space="preserve">В тази връзка по програмата се предвижда изпълнение на действие, насочено към развиване на Националното звено за данни за пътниците, което ще бъде финансирано през 2024 г. след междинния преглед.  </w:t>
            </w:r>
          </w:p>
          <w:p w14:paraId="7007C070" w14:textId="77777777" w:rsidR="00585400" w:rsidRDefault="00585400" w:rsidP="00585400">
            <w:pPr>
              <w:spacing w:before="60" w:after="60"/>
              <w:jc w:val="both"/>
            </w:pPr>
            <w:r w:rsidRPr="00AE5A81">
              <w:t xml:space="preserve">Според докладите на ЕК за България корупцията остава сред основните пречки пред инвестициите и рискът от нея трябва да бъде преодолян </w:t>
            </w:r>
            <w:r>
              <w:t>чрез по-целенасочени мерки</w:t>
            </w:r>
            <w:r w:rsidRPr="00AE5A81">
              <w:t>. Повечето от корупционните действия се извършват с участието или съучастието на други служители на МВР, граждани или служители на други институции. 61% от анкетираните в Евробарометър са на мнение, че подкупването и злоупотребата с власт с цел лично облагодетелстване са широко разпространени сред правоприлагащите и митническите органи.</w:t>
            </w:r>
          </w:p>
          <w:p w14:paraId="746E8EA8" w14:textId="77777777" w:rsidR="00585400" w:rsidRPr="005862E2" w:rsidRDefault="00585400" w:rsidP="00585400">
            <w:pPr>
              <w:spacing w:before="60" w:after="60"/>
              <w:jc w:val="both"/>
            </w:pPr>
            <w:r w:rsidRPr="005862E2">
              <w:t xml:space="preserve">Съгласно данните в Годишните отчети за степента на изпълнение на мерките от Антикорупционния план на МВР за 2018 г. и 2019 г. </w:t>
            </w:r>
            <w:r>
              <w:t xml:space="preserve">обработените от </w:t>
            </w:r>
            <w:r w:rsidRPr="005862E2">
              <w:t>дирекция „Вътрешна сигурност“-МВР (ДВС-МВР) сигнал</w:t>
            </w:r>
            <w:r>
              <w:t>и</w:t>
            </w:r>
            <w:r w:rsidRPr="005862E2">
              <w:t xml:space="preserve"> с данни за предполагаеми престъпления, включително за корупционни деяния</w:t>
            </w:r>
            <w:r>
              <w:t xml:space="preserve">, извършени от служители на МВР, са </w:t>
            </w:r>
            <w:r w:rsidRPr="005862E2">
              <w:t>562 за 2019 г</w:t>
            </w:r>
            <w:r>
              <w:t>.</w:t>
            </w:r>
            <w:r w:rsidRPr="005862E2">
              <w:t xml:space="preserve"> и 172 през 2018 г. Образувани</w:t>
            </w:r>
            <w:r>
              <w:t>те</w:t>
            </w:r>
            <w:r w:rsidRPr="005862E2">
              <w:t xml:space="preserve"> досъдебни производства за неправомерни действия от страна на полицията са 81 през 2019 г. и 98 през 2018 г. Повечето постановени през 2019 г. решения на Върховния касационен съд по дела, свързани с корупционни престъпле</w:t>
            </w:r>
            <w:r>
              <w:t xml:space="preserve">ния, се отнасят до предлагането, </w:t>
            </w:r>
            <w:r w:rsidRPr="005862E2">
              <w:t>даването</w:t>
            </w:r>
            <w:r>
              <w:t xml:space="preserve">, </w:t>
            </w:r>
            <w:r w:rsidRPr="005862E2">
              <w:t>искането</w:t>
            </w:r>
            <w:r>
              <w:t xml:space="preserve"> или </w:t>
            </w:r>
            <w:r w:rsidRPr="005862E2">
              <w:t>получа</w:t>
            </w:r>
            <w:r>
              <w:t xml:space="preserve">ването на подкупи на или </w:t>
            </w:r>
            <w:r w:rsidRPr="005862E2">
              <w:t>от служители на Министерството на вътрешните работи (десет осъдителни присъди по 28 корупционни дела).</w:t>
            </w:r>
          </w:p>
          <w:p w14:paraId="5063BA8B" w14:textId="77777777" w:rsidR="00585400" w:rsidRPr="005862E2" w:rsidRDefault="00585400" w:rsidP="00585400">
            <w:pPr>
              <w:spacing w:before="60" w:after="60"/>
              <w:jc w:val="both"/>
            </w:pPr>
            <w:r>
              <w:t>С финансовата подкрепа по НП по ФВС-Полиция</w:t>
            </w:r>
            <w:r w:rsidRPr="005862E2">
              <w:t xml:space="preserve"> е изградена автоматизирана система за активен мониторинг, която включва постоянно аудио и видео, обмен на информация, достъп до данни, контрол, съхранение на информация, оперативен анализ и оценка, предложения за съответни мерки. </w:t>
            </w:r>
            <w:r w:rsidRPr="006A7C01">
              <w:t>Беше създадена система за обмен на информация, достъп до данни, контрол, съхранение на информация, оперативен анализ и оценка на повредената среда.</w:t>
            </w:r>
            <w:r>
              <w:t xml:space="preserve"> </w:t>
            </w:r>
            <w:r w:rsidRPr="005862E2">
              <w:t xml:space="preserve">Бе осигурено финансиране от Норвежкия финансов механизъм за повишаване на аналитичните способности в МВР чрез изграждане на система за обмен на информация, достъп до данни, контрол, съхранение на информация, оперативен анализ и оценка на корупционната среда. </w:t>
            </w:r>
          </w:p>
          <w:p w14:paraId="1CF8358C" w14:textId="77777777" w:rsidR="00585400" w:rsidRPr="005862E2" w:rsidRDefault="00585400" w:rsidP="00585400">
            <w:pPr>
              <w:spacing w:before="60" w:after="60"/>
              <w:jc w:val="both"/>
            </w:pPr>
            <w:r w:rsidRPr="005862E2">
              <w:t>За ефективно разследване на корупционните актове е необходим бърз и надежден обмен на информация (включително при реализирането на тактически и специализирани операции). Компетентните органи, отговорни за борбата с корупцията, трябва да разполагат с достъп до всички регистри и бази данни в МВР и в другите държавни институции.</w:t>
            </w:r>
            <w:r w:rsidRPr="001B724C">
              <w:t xml:space="preserve"> </w:t>
            </w:r>
            <w:r w:rsidRPr="005862E2">
              <w:t xml:space="preserve">За да се подобри ефективността на разкриването и разследването на корупционни престъпления, свързани със служители на МВР, </w:t>
            </w:r>
            <w:r w:rsidRPr="005862E2">
              <w:lastRenderedPageBreak/>
              <w:t xml:space="preserve">трябва да се прилагат механизми за улесняване и насочване/управление на потока от информацията между институционалните участници. </w:t>
            </w:r>
          </w:p>
          <w:p w14:paraId="792B0789" w14:textId="77777777" w:rsidR="00585400" w:rsidRPr="005862E2" w:rsidRDefault="00585400" w:rsidP="00585400">
            <w:pPr>
              <w:spacing w:before="60" w:after="60"/>
              <w:jc w:val="both"/>
            </w:pPr>
            <w:r w:rsidRPr="005862E2">
              <w:t>Програмата по ФВС ще продължи да подкрепя действията, финансирани в настоящия период, като например: създаване, развитие, поддръжка и надграждане на автоматизирани информационни системи и мрежи в МВР; подобряване на обмена на информация и оперативната съвместимост; развитие и прилагане на система за резервационни данни на пътниците в българското звено за данни на пътницит</w:t>
            </w:r>
            <w:r>
              <w:t>е</w:t>
            </w:r>
            <w:r w:rsidRPr="005862E2">
              <w:t>; разширяване, обновяване и поддръжка на националните криминалистични бази данни поддържани от НИК-МВР; анализ и обмен на финансово разузнавателна информация; развитие на системите за предотвратяване на незаконни дейности и корупционно поведение на служители на МВР.</w:t>
            </w:r>
          </w:p>
          <w:p w14:paraId="02CCFE25" w14:textId="77777777" w:rsidR="00585400" w:rsidRDefault="00585400" w:rsidP="00585400">
            <w:pPr>
              <w:spacing w:before="60" w:after="60"/>
              <w:jc w:val="both"/>
            </w:pPr>
            <w:r w:rsidRPr="005862E2">
              <w:t>Те ще бъдат продължени и надградени на база на научените уроци и най-добрите практики чрез разширяване на обхвата и капацитета на ИКТ системите, включително връзката с други системи, създаване на нови системи, увеличаване на обхвата на партньорите и каналите за обмен на информация.</w:t>
            </w:r>
          </w:p>
          <w:p w14:paraId="0D3E9029" w14:textId="5B3C6CC6" w:rsidR="00585400" w:rsidRDefault="00585400" w:rsidP="00585400">
            <w:pPr>
              <w:spacing w:before="60" w:after="60"/>
              <w:jc w:val="both"/>
            </w:pPr>
            <w:r w:rsidRPr="0020166A">
              <w:t>Очаква се действията, насочени към разработване и поддържане на системите AFIS и ДНК, да допринесат за изпълнението на Прюм II. Допълнителен преглед ще бъде извършен и обхватът на промените в националните информационни системи ще бъде определен след окончателното приемане на Кодекса на ЕС за полицейско сътрудничество. Ако е необходимо, ще бъдат планирани нови действия.</w:t>
            </w:r>
          </w:p>
          <w:p w14:paraId="77BC2E18" w14:textId="62763A95" w:rsidR="0098574A" w:rsidRPr="0098574A" w:rsidRDefault="0098574A" w:rsidP="0098574A">
            <w:pPr>
              <w:spacing w:before="60" w:after="60"/>
              <w:jc w:val="both"/>
              <w:rPr>
                <w:lang w:val="bg-BG"/>
              </w:rPr>
            </w:pPr>
            <w:r w:rsidRPr="0098574A">
              <w:rPr>
                <w:lang w:val="bg-BG"/>
              </w:rPr>
              <w:t xml:space="preserve">Въз основа на анализа на изпълнението на програмата през 2025 г., новопредложените интервенции надграждат постигнатия досега напредък и насочват </w:t>
            </w:r>
            <w:r w:rsidR="00AE33B9">
              <w:rPr>
                <w:lang w:val="bg-BG"/>
              </w:rPr>
              <w:t>спестените средства</w:t>
            </w:r>
            <w:r w:rsidRPr="0098574A">
              <w:rPr>
                <w:lang w:val="bg-BG"/>
              </w:rPr>
              <w:t>, генерирани по време на изпълнението на програмата, към повишаване на националния капацитет за навременен и сигурен обмен на информация. Проектите ще подкрепят</w:t>
            </w:r>
            <w:r w:rsidR="00AE33B9">
              <w:rPr>
                <w:lang w:val="bg-BG"/>
              </w:rPr>
              <w:t xml:space="preserve"> </w:t>
            </w:r>
            <w:r w:rsidRPr="0098574A">
              <w:rPr>
                <w:lang w:val="bg-BG"/>
              </w:rPr>
              <w:t>оперативната съвместимост, подобрената обработка на данни и аналитичните възможности, допринасяйки за по-ефективно разкриване, предотвратяване и разследване на трансгранична престъпност.</w:t>
            </w:r>
          </w:p>
          <w:p w14:paraId="3825C5AA" w14:textId="77777777" w:rsidR="0098574A" w:rsidRPr="00AE33B9" w:rsidRDefault="0098574A" w:rsidP="00585400">
            <w:pPr>
              <w:spacing w:before="60" w:after="60"/>
              <w:jc w:val="both"/>
              <w:rPr>
                <w:lang w:val="bg-BG"/>
              </w:rPr>
            </w:pPr>
          </w:p>
          <w:p w14:paraId="342D29A6" w14:textId="77777777" w:rsidR="00585400" w:rsidRDefault="00585400" w:rsidP="00585400">
            <w:pPr>
              <w:spacing w:before="60" w:after="60"/>
              <w:jc w:val="both"/>
            </w:pPr>
            <w:r w:rsidRPr="005862E2">
              <w:t>Подкрепата в рамките на НП по ФВС ще допринесе за изпълнението на специфичната цел, заложена в чл. 3 (2) (а) като се фокусира върху мерките за изпълнение и съответните примерни действия, като изброените по-долу:</w:t>
            </w:r>
          </w:p>
          <w:p w14:paraId="43A38AFB" w14:textId="77777777" w:rsidR="00585400" w:rsidRPr="006B280D" w:rsidRDefault="00585400" w:rsidP="00585400">
            <w:pPr>
              <w:spacing w:before="60" w:after="60"/>
              <w:jc w:val="both"/>
            </w:pPr>
            <w:r w:rsidRPr="006B280D">
              <w:t>- Осигуряване на еднаквото прилагане на достиженията на правото на Съюза чрез подпомагане на обмена на информация чрез Прюм II, резервационните данни на пътниците на ЕС, ШИС и др.</w:t>
            </w:r>
          </w:p>
          <w:p w14:paraId="741786ED" w14:textId="30240478" w:rsidR="00585400" w:rsidRPr="006B280D" w:rsidRDefault="00585400" w:rsidP="00585400">
            <w:pPr>
              <w:spacing w:before="60" w:after="60"/>
              <w:jc w:val="both"/>
            </w:pPr>
            <w:r w:rsidRPr="006B280D">
              <w:t xml:space="preserve">Предвидено е следното </w:t>
            </w:r>
            <w:r w:rsidR="00AE33B9" w:rsidRPr="006B280D">
              <w:t>индикативн</w:t>
            </w:r>
            <w:r w:rsidR="00AE33B9">
              <w:rPr>
                <w:lang w:val="bg-BG"/>
              </w:rPr>
              <w:t>ите</w:t>
            </w:r>
            <w:r w:rsidR="00AE33B9" w:rsidRPr="006B280D">
              <w:t xml:space="preserve"> действи</w:t>
            </w:r>
            <w:r w:rsidR="00AE33B9">
              <w:rPr>
                <w:lang w:val="bg-BG"/>
              </w:rPr>
              <w:t>я</w:t>
            </w:r>
            <w:r w:rsidRPr="006B280D">
              <w:t>/проект</w:t>
            </w:r>
            <w:r w:rsidR="00AE33B9">
              <w:rPr>
                <w:lang w:val="bg-BG"/>
              </w:rPr>
              <w:t>и</w:t>
            </w:r>
            <w:r w:rsidRPr="006B280D">
              <w:t xml:space="preserve">: </w:t>
            </w:r>
          </w:p>
          <w:p w14:paraId="45A01C0C" w14:textId="77777777" w:rsidR="00585400" w:rsidRPr="006B280D" w:rsidRDefault="00585400" w:rsidP="00585400">
            <w:pPr>
              <w:spacing w:before="60" w:after="60"/>
              <w:jc w:val="both"/>
            </w:pPr>
            <w:r w:rsidRPr="006B280D">
              <w:t>- Разширяване, надграждане и поддържане на три национални криминалистични бази данни, поддържани от НИК-МВР. Засилване на оперативното сътрудничество с държавите членки и на международния обмен на информация за дактилоскопна, ДНК и балистична информация.</w:t>
            </w:r>
          </w:p>
          <w:p w14:paraId="2F262FEC" w14:textId="0A2B8DC9" w:rsidR="009C786A" w:rsidRPr="009C786A" w:rsidRDefault="009C786A" w:rsidP="009C786A">
            <w:pPr>
              <w:spacing w:before="60" w:after="60"/>
              <w:jc w:val="both"/>
              <w:rPr>
                <w:lang w:val="bg-BG"/>
              </w:rPr>
            </w:pPr>
            <w:r w:rsidRPr="009C786A">
              <w:rPr>
                <w:lang w:val="bg-BG"/>
              </w:rPr>
              <w:t xml:space="preserve">- </w:t>
            </w:r>
            <w:r w:rsidR="00AE33B9">
              <w:rPr>
                <w:lang w:val="bg-BG"/>
              </w:rPr>
              <w:t>Повишаване</w:t>
            </w:r>
            <w:r w:rsidRPr="009C786A">
              <w:rPr>
                <w:lang w:val="bg-BG"/>
              </w:rPr>
              <w:t xml:space="preserve"> на качеството и ефективността на ДНК </w:t>
            </w:r>
            <w:r w:rsidR="00AE33B9">
              <w:rPr>
                <w:lang w:val="bg-BG"/>
              </w:rPr>
              <w:t>изследванията</w:t>
            </w:r>
            <w:r w:rsidRPr="009C786A">
              <w:rPr>
                <w:lang w:val="bg-BG"/>
              </w:rPr>
              <w:t xml:space="preserve"> в областта на криминалистиката.</w:t>
            </w:r>
          </w:p>
          <w:p w14:paraId="351E10A5" w14:textId="654DCF1F" w:rsidR="009C786A" w:rsidRPr="00AE33B9" w:rsidRDefault="009C786A" w:rsidP="00585400">
            <w:pPr>
              <w:spacing w:before="60" w:after="60"/>
              <w:jc w:val="both"/>
              <w:rPr>
                <w:lang w:val="bg-BG"/>
              </w:rPr>
            </w:pPr>
            <w:r w:rsidRPr="009C786A">
              <w:rPr>
                <w:lang w:val="bg-BG"/>
              </w:rPr>
              <w:t xml:space="preserve">- </w:t>
            </w:r>
            <w:r w:rsidR="00AE33B9">
              <w:rPr>
                <w:lang w:val="bg-BG"/>
              </w:rPr>
              <w:t>Продължаващо развитие</w:t>
            </w:r>
            <w:r w:rsidRPr="009C786A">
              <w:rPr>
                <w:lang w:val="bg-BG"/>
              </w:rPr>
              <w:t xml:space="preserve"> и </w:t>
            </w:r>
            <w:r w:rsidR="00AE33B9">
              <w:rPr>
                <w:lang w:val="bg-BG"/>
              </w:rPr>
              <w:t xml:space="preserve">прилагане на </w:t>
            </w:r>
            <w:r w:rsidRPr="009C786A">
              <w:rPr>
                <w:lang w:val="bg-BG"/>
              </w:rPr>
              <w:t xml:space="preserve"> системата за PNR в звено за </w:t>
            </w:r>
            <w:r w:rsidR="00AE33B9">
              <w:rPr>
                <w:lang w:val="bg-BG"/>
              </w:rPr>
              <w:t xml:space="preserve">данни </w:t>
            </w:r>
            <w:r w:rsidRPr="009C786A">
              <w:rPr>
                <w:lang w:val="bg-BG"/>
              </w:rPr>
              <w:t>за пътниците (BGPIU) на национално ниво.</w:t>
            </w:r>
          </w:p>
          <w:p w14:paraId="2A60CC35" w14:textId="38A1E013" w:rsidR="00585400" w:rsidRPr="006B280D" w:rsidRDefault="00585400" w:rsidP="00585400">
            <w:pPr>
              <w:spacing w:before="60" w:after="60"/>
              <w:jc w:val="both"/>
            </w:pPr>
            <w:r w:rsidRPr="006B280D">
              <w:t xml:space="preserve">Подкрепа ще бъде предоставена, </w:t>
            </w:r>
            <w:r>
              <w:t>наред с другото</w:t>
            </w:r>
            <w:r w:rsidRPr="006B280D">
              <w:t xml:space="preserve">, за следните видове действия: </w:t>
            </w:r>
          </w:p>
          <w:p w14:paraId="5E86CA8B" w14:textId="77777777" w:rsidR="00585400" w:rsidRPr="006B280D" w:rsidRDefault="00585400" w:rsidP="00585400">
            <w:pPr>
              <w:spacing w:before="60" w:after="60"/>
              <w:jc w:val="both"/>
            </w:pPr>
            <w:r w:rsidRPr="006B280D">
              <w:t>- създаване, адаптиране и поддръжка на системи на ИКТ</w:t>
            </w:r>
          </w:p>
          <w:p w14:paraId="741526A9" w14:textId="77777777" w:rsidR="00585400" w:rsidRPr="006B280D" w:rsidRDefault="00585400" w:rsidP="00585400">
            <w:pPr>
              <w:spacing w:before="60" w:after="60"/>
              <w:jc w:val="both"/>
            </w:pPr>
            <w:r w:rsidRPr="006B280D">
              <w:t>- финансиране за оборудване, което е пряко свързано със създаването, адаптиране и поддръжка на системи на ИКТ.</w:t>
            </w:r>
          </w:p>
          <w:p w14:paraId="6A791E5F" w14:textId="77777777" w:rsidR="00585400" w:rsidRPr="001B724C" w:rsidRDefault="00585400" w:rsidP="00585400">
            <w:pPr>
              <w:spacing w:before="60" w:after="60"/>
              <w:jc w:val="both"/>
            </w:pPr>
            <w:r w:rsidRPr="006B280D">
              <w:t xml:space="preserve">- </w:t>
            </w:r>
            <w:r w:rsidRPr="001B724C">
              <w:t xml:space="preserve">Подкрепа за съответните национални мерки, включително взаимното свързване на </w:t>
            </w:r>
          </w:p>
          <w:p w14:paraId="438F21D1" w14:textId="77777777" w:rsidR="00585400" w:rsidRPr="001B724C" w:rsidRDefault="00585400" w:rsidP="00585400">
            <w:pPr>
              <w:spacing w:before="60" w:after="60"/>
              <w:jc w:val="both"/>
            </w:pPr>
            <w:r w:rsidRPr="001B724C">
              <w:t>националните бази данни от значение за сигурността</w:t>
            </w:r>
          </w:p>
          <w:p w14:paraId="651119B4" w14:textId="77777777" w:rsidR="00585400" w:rsidRPr="005862E2" w:rsidRDefault="00585400" w:rsidP="00585400">
            <w:pPr>
              <w:spacing w:before="60" w:after="60"/>
              <w:jc w:val="both"/>
            </w:pPr>
            <w:r w:rsidRPr="005862E2">
              <w:t>Предвидени са следните индикативни действия/проекти:</w:t>
            </w:r>
          </w:p>
          <w:p w14:paraId="5C13F2DE" w14:textId="77777777" w:rsidR="00585400" w:rsidRPr="005862E2" w:rsidRDefault="00585400" w:rsidP="00585400">
            <w:pPr>
              <w:spacing w:before="60" w:after="60"/>
              <w:jc w:val="both"/>
            </w:pPr>
            <w:r w:rsidRPr="005862E2">
              <w:t>- Изграждане и развитие на автоматизирани полицейски информационни системи</w:t>
            </w:r>
          </w:p>
          <w:p w14:paraId="04591EBF" w14:textId="77777777" w:rsidR="00585400" w:rsidRPr="005862E2" w:rsidRDefault="00585400" w:rsidP="00585400">
            <w:pPr>
              <w:spacing w:before="60" w:after="60"/>
              <w:jc w:val="both"/>
            </w:pPr>
            <w:r w:rsidRPr="005862E2">
              <w:t xml:space="preserve">- Осигуряване на ефективна и непрекъсната </w:t>
            </w:r>
            <w:r>
              <w:t xml:space="preserve">свързаност със защитените информационни системи на </w:t>
            </w:r>
            <w:r w:rsidRPr="005862E2">
              <w:t xml:space="preserve">ЕС </w:t>
            </w:r>
          </w:p>
          <w:p w14:paraId="69FD2EAC" w14:textId="55CA0255" w:rsidR="00585400" w:rsidRDefault="00585400" w:rsidP="00585400">
            <w:pPr>
              <w:spacing w:before="60" w:after="60"/>
              <w:jc w:val="both"/>
            </w:pPr>
            <w:r w:rsidRPr="005862E2">
              <w:lastRenderedPageBreak/>
              <w:t>- Изграждане на интелигентна система за събиране, систематизиране, анализ и визуализиране на данни</w:t>
            </w:r>
            <w:r>
              <w:t xml:space="preserve"> </w:t>
            </w:r>
            <w:r w:rsidRPr="0020166A">
              <w:t>с цел предотвратяване и противодействие на корупцията.</w:t>
            </w:r>
          </w:p>
          <w:p w14:paraId="6E782F00" w14:textId="253AF21E" w:rsidR="00465EC0" w:rsidRPr="00465EC0" w:rsidRDefault="00465EC0" w:rsidP="00465EC0">
            <w:pPr>
              <w:spacing w:before="60" w:after="60"/>
              <w:jc w:val="both"/>
              <w:rPr>
                <w:lang w:val="bg-BG"/>
              </w:rPr>
            </w:pPr>
            <w:r w:rsidRPr="00465EC0">
              <w:rPr>
                <w:lang w:val="bg-BG"/>
              </w:rPr>
              <w:t xml:space="preserve">- Подобряване на полицейските възможности </w:t>
            </w:r>
            <w:r w:rsidR="00AE33B9">
              <w:rPr>
                <w:lang w:val="bg-BG"/>
              </w:rPr>
              <w:t>при извършване на огледи на местопроизшествия</w:t>
            </w:r>
            <w:r w:rsidRPr="00465EC0">
              <w:rPr>
                <w:lang w:val="bg-BG"/>
              </w:rPr>
              <w:t xml:space="preserve"> чрез използване на информационни системи</w:t>
            </w:r>
          </w:p>
          <w:p w14:paraId="13B01381" w14:textId="5D8DDB6E" w:rsidR="00465EC0" w:rsidRPr="00465EC0" w:rsidRDefault="00465EC0" w:rsidP="00465EC0">
            <w:pPr>
              <w:spacing w:before="60" w:after="60"/>
              <w:jc w:val="both"/>
              <w:rPr>
                <w:lang w:val="bg-BG"/>
              </w:rPr>
            </w:pPr>
            <w:r w:rsidRPr="00465EC0">
              <w:rPr>
                <w:lang w:val="bg-BG"/>
              </w:rPr>
              <w:t xml:space="preserve">- Подкрепа за внедряване и </w:t>
            </w:r>
            <w:r w:rsidR="00AE33B9">
              <w:rPr>
                <w:lang w:val="bg-BG"/>
              </w:rPr>
              <w:t>осигуряване работата</w:t>
            </w:r>
            <w:r w:rsidRPr="00465EC0">
              <w:rPr>
                <w:lang w:val="bg-BG"/>
              </w:rPr>
              <w:t xml:space="preserve"> на SIENA и системи за управление на случаи в съответствие с Директива (ЕС) 2023/977 относно обмена на информация между правоприлагащите органи</w:t>
            </w:r>
          </w:p>
          <w:p w14:paraId="41C86ACB" w14:textId="151BF2AC" w:rsidR="00465EC0" w:rsidRPr="00894EB3" w:rsidRDefault="00465EC0" w:rsidP="00585400">
            <w:pPr>
              <w:spacing w:before="60" w:after="60"/>
              <w:jc w:val="both"/>
              <w:rPr>
                <w:lang w:val="bg-BG"/>
              </w:rPr>
            </w:pPr>
            <w:r w:rsidRPr="00465EC0">
              <w:rPr>
                <w:lang w:val="bg-BG"/>
              </w:rPr>
              <w:t xml:space="preserve">- Повишаване на ефективността </w:t>
            </w:r>
            <w:r w:rsidR="00E910E8">
              <w:rPr>
                <w:lang w:val="bg-BG"/>
              </w:rPr>
              <w:t>при извършване на</w:t>
            </w:r>
            <w:r w:rsidRPr="00465EC0">
              <w:rPr>
                <w:lang w:val="bg-BG"/>
              </w:rPr>
              <w:t xml:space="preserve"> оценка и управление на риска от корупция в Министерството на вътрешните работи.</w:t>
            </w:r>
          </w:p>
          <w:p w14:paraId="30F4598C" w14:textId="77777777" w:rsidR="00585400" w:rsidRPr="005862E2" w:rsidRDefault="00585400" w:rsidP="00585400">
            <w:pPr>
              <w:spacing w:before="60" w:after="60"/>
              <w:jc w:val="both"/>
            </w:pPr>
            <w:r w:rsidRPr="005862E2">
              <w:t>Ще бъде предоставена подкрепа</w:t>
            </w:r>
            <w:r>
              <w:t xml:space="preserve"> </w:t>
            </w:r>
            <w:r w:rsidRPr="0020166A">
              <w:t xml:space="preserve">, </w:t>
            </w:r>
            <w:r>
              <w:t>наред с другото</w:t>
            </w:r>
            <w:r w:rsidRPr="0020166A">
              <w:t>,</w:t>
            </w:r>
            <w:r w:rsidRPr="005862E2">
              <w:t xml:space="preserve"> за следните типове действия: </w:t>
            </w:r>
          </w:p>
          <w:p w14:paraId="291C1A44" w14:textId="77777777" w:rsidR="00585400" w:rsidRPr="005862E2" w:rsidRDefault="00585400" w:rsidP="00585400">
            <w:pPr>
              <w:spacing w:before="60" w:after="60"/>
              <w:jc w:val="both"/>
            </w:pPr>
            <w:r w:rsidRPr="005862E2">
              <w:t>- създаване, адаптиране и поддръжка на системи на ИКТ</w:t>
            </w:r>
          </w:p>
          <w:p w14:paraId="36286457" w14:textId="77777777" w:rsidR="00585400" w:rsidRPr="005862E2" w:rsidRDefault="00585400" w:rsidP="00585400">
            <w:pPr>
              <w:spacing w:before="60" w:after="60"/>
              <w:jc w:val="both"/>
            </w:pPr>
            <w:r w:rsidRPr="005862E2">
              <w:t>- финансиране за оборудване и комуникационни сист</w:t>
            </w:r>
            <w:r>
              <w:t>еми, които са пряко свързани със създаването</w:t>
            </w:r>
            <w:r w:rsidRPr="005862E2">
              <w:t>, адаптиране</w:t>
            </w:r>
            <w:r>
              <w:t>то</w:t>
            </w:r>
            <w:r w:rsidRPr="005862E2">
              <w:t xml:space="preserve"> и поддръжка</w:t>
            </w:r>
            <w:r>
              <w:t>та</w:t>
            </w:r>
            <w:r w:rsidRPr="005862E2">
              <w:t xml:space="preserve"> на системи на ИКТ</w:t>
            </w:r>
          </w:p>
          <w:p w14:paraId="469E3BF1" w14:textId="77777777" w:rsidR="00585400" w:rsidRPr="005862E2" w:rsidRDefault="00585400" w:rsidP="00585400">
            <w:pPr>
              <w:spacing w:before="60" w:after="60"/>
              <w:jc w:val="both"/>
            </w:pPr>
            <w:r w:rsidRPr="005862E2">
              <w:t xml:space="preserve">- образование и обучение при условие, че са пряко свързани </w:t>
            </w:r>
            <w:r>
              <w:t>със създаването</w:t>
            </w:r>
            <w:r w:rsidRPr="005862E2">
              <w:t>, адаптиране</w:t>
            </w:r>
            <w:r>
              <w:t>то</w:t>
            </w:r>
            <w:r w:rsidRPr="005862E2">
              <w:t xml:space="preserve"> и поддръжка</w:t>
            </w:r>
            <w:r>
              <w:t>та</w:t>
            </w:r>
            <w:r w:rsidRPr="005862E2">
              <w:t xml:space="preserve"> на системи на ИКТ</w:t>
            </w:r>
          </w:p>
          <w:p w14:paraId="3F6E5A54" w14:textId="77777777" w:rsidR="00585400" w:rsidRPr="005862E2" w:rsidRDefault="00585400" w:rsidP="00585400">
            <w:pPr>
              <w:spacing w:before="60" w:after="60"/>
              <w:jc w:val="both"/>
            </w:pPr>
            <w:r w:rsidRPr="005862E2">
              <w:t>- подкрепа за тематични или обхващащи множество теми мрежи от специализирани национални звена и национални точки за контакт с цел повишаване на взаимното доверие, обмена и разпространението на ноу-хау, информация, опит и добри практики, ако е пряко свързана със създаването, адаптиране и поддръжка на системи на ИКТ.</w:t>
            </w:r>
          </w:p>
          <w:p w14:paraId="078C10D3" w14:textId="77777777" w:rsidR="00585400" w:rsidRPr="005862E2" w:rsidRDefault="00585400" w:rsidP="00585400">
            <w:pPr>
              <w:spacing w:before="60" w:after="60"/>
              <w:jc w:val="both"/>
            </w:pPr>
            <w:r w:rsidRPr="005862E2">
              <w:t>Всички дейности по обучения ще бъдат координирани с CEPOL, за да се насърчат синергиите и да се избегне двойно финансиране.</w:t>
            </w:r>
          </w:p>
          <w:p w14:paraId="236E2CFF" w14:textId="77777777" w:rsidR="00585400" w:rsidRPr="005862E2" w:rsidRDefault="00585400" w:rsidP="00585400">
            <w:pPr>
              <w:spacing w:before="60" w:after="60"/>
              <w:jc w:val="both"/>
            </w:pPr>
            <w:r w:rsidRPr="005862E2">
              <w:t>Изпълнението на посочените действия ще допринесе за адресиране на следните приоритети:</w:t>
            </w:r>
          </w:p>
          <w:p w14:paraId="54C0EAE8" w14:textId="77777777" w:rsidR="00585400" w:rsidRPr="005862E2" w:rsidRDefault="00585400" w:rsidP="00585400">
            <w:pPr>
              <w:spacing w:before="60" w:after="60"/>
              <w:jc w:val="both"/>
            </w:pPr>
            <w:r w:rsidRPr="005862E2">
              <w:t xml:space="preserve">- </w:t>
            </w:r>
            <w:r w:rsidRPr="006B280D">
              <w:t>осигуряване на пълна оперативна съвместимост на националните системи в МВР, които дават възможност за работа на Н.ШИС, като например Национален полицейски регистър, Бюлетин на АИС, Оперативен документ на АИС, Оперативен анализ на АИС, CIS EUROPOL BG, Географски информационни системи на МВР и др.</w:t>
            </w:r>
          </w:p>
          <w:p w14:paraId="0800AFEF" w14:textId="77777777" w:rsidR="00585400" w:rsidRPr="005862E2" w:rsidRDefault="00585400" w:rsidP="00585400">
            <w:pPr>
              <w:spacing w:before="60" w:after="60"/>
              <w:jc w:val="both"/>
            </w:pPr>
            <w:r w:rsidRPr="005862E2">
              <w:t xml:space="preserve">- подкрепа за развитието на Национално единно звено за контакт за международно полицейско сътрудничество по отношение на обмена и управление на информация и сведения, свързани с трансгранични престъпления  </w:t>
            </w:r>
          </w:p>
          <w:p w14:paraId="1D6A1BA6" w14:textId="77777777" w:rsidR="00585400" w:rsidRPr="005862E2" w:rsidRDefault="00585400" w:rsidP="00585400">
            <w:pPr>
              <w:spacing w:before="60" w:after="60"/>
              <w:jc w:val="both"/>
            </w:pPr>
            <w:r w:rsidRPr="005862E2">
              <w:t xml:space="preserve">- осигуряване на ефективното свързване към свързаните със сигурността информационни системи и комуникационни мрежи на Съюза, включително тяхната оперативна съвместимост </w:t>
            </w:r>
          </w:p>
          <w:p w14:paraId="0AB36F26" w14:textId="77777777" w:rsidR="00585400" w:rsidRDefault="00585400" w:rsidP="00585400">
            <w:pPr>
              <w:spacing w:before="60" w:after="60"/>
              <w:jc w:val="both"/>
            </w:pPr>
            <w:r w:rsidRPr="005862E2">
              <w:t xml:space="preserve">- </w:t>
            </w:r>
            <w:r w:rsidRPr="006B280D">
              <w:t>създаване на условия за свързване на националните системи с Европейския портал за търсене.</w:t>
            </w:r>
          </w:p>
          <w:p w14:paraId="20BBAEFE" w14:textId="73D42FCF" w:rsidR="00585400" w:rsidRPr="00312D64" w:rsidRDefault="00020F6E" w:rsidP="00585400">
            <w:pPr>
              <w:spacing w:before="60" w:after="60"/>
              <w:jc w:val="both"/>
              <w:rPr>
                <w:b/>
                <w:i/>
              </w:rPr>
            </w:pPr>
            <w:r>
              <w:rPr>
                <w:b/>
                <w:i/>
                <w:lang w:val="bg-BG"/>
              </w:rPr>
              <w:t xml:space="preserve">- </w:t>
            </w:r>
            <w:r w:rsidR="00585400" w:rsidRPr="00312D64">
              <w:rPr>
                <w:b/>
                <w:i/>
              </w:rPr>
              <w:t>Очаквани резултати:</w:t>
            </w:r>
          </w:p>
          <w:p w14:paraId="5B3503DD" w14:textId="77777777" w:rsidR="00585400" w:rsidRDefault="00585400" w:rsidP="00585400">
            <w:pPr>
              <w:spacing w:before="60" w:after="60"/>
              <w:jc w:val="both"/>
            </w:pPr>
            <w:r>
              <w:t>- по-бърз достъп до информация, необходима за ефективно разследване на тежката и организираната престъпност, включително корупцията</w:t>
            </w:r>
          </w:p>
          <w:p w14:paraId="1BE21AF7" w14:textId="77777777" w:rsidR="00585400" w:rsidRDefault="00585400" w:rsidP="00585400">
            <w:pPr>
              <w:spacing w:before="60" w:after="60"/>
              <w:jc w:val="both"/>
            </w:pPr>
            <w:r>
              <w:t xml:space="preserve">- развит аналитичен капацитет за получаване и обработка на данни </w:t>
            </w:r>
          </w:p>
          <w:p w14:paraId="4C313BDD" w14:textId="77777777" w:rsidR="00585400" w:rsidRDefault="00585400" w:rsidP="00585400">
            <w:pPr>
              <w:spacing w:before="60" w:after="60"/>
              <w:jc w:val="both"/>
            </w:pPr>
            <w:r>
              <w:t>- засилено използване на системи и бази данни на национално равнище и на равнище ЕС</w:t>
            </w:r>
          </w:p>
          <w:p w14:paraId="17D267BA" w14:textId="77777777" w:rsidR="00585400" w:rsidRDefault="00585400" w:rsidP="00585400">
            <w:pPr>
              <w:spacing w:before="60" w:after="60"/>
              <w:jc w:val="both"/>
            </w:pPr>
            <w:r>
              <w:t>- бърз и навременен обмен на информация и осигурена приемственост, включително в случай на извънредни ситуации</w:t>
            </w:r>
          </w:p>
          <w:p w14:paraId="7DE20742" w14:textId="77777777" w:rsidR="00585400" w:rsidRDefault="00585400" w:rsidP="00585400">
            <w:pPr>
              <w:spacing w:before="60" w:after="60"/>
              <w:jc w:val="both"/>
            </w:pPr>
            <w:r>
              <w:t>- подобрена оперативна съвместимост и сигурност при обмена на данни и информация</w:t>
            </w:r>
          </w:p>
          <w:p w14:paraId="633D741F" w14:textId="77777777" w:rsidR="00585400" w:rsidRDefault="00585400" w:rsidP="00585400">
            <w:pPr>
              <w:spacing w:before="60" w:after="60"/>
              <w:jc w:val="both"/>
            </w:pPr>
            <w:r>
              <w:t>- подобрен обмен на информация с Европол, държавите</w:t>
            </w:r>
            <w:r w:rsidRPr="001B724C">
              <w:t xml:space="preserve"> </w:t>
            </w:r>
            <w:r>
              <w:t xml:space="preserve">членки, трети държави и други агенции на ЕС </w:t>
            </w:r>
          </w:p>
          <w:p w14:paraId="479CC0EC" w14:textId="77777777" w:rsidR="00585400" w:rsidRPr="005862E2" w:rsidRDefault="00585400" w:rsidP="00585400">
            <w:pPr>
              <w:spacing w:before="60" w:after="60"/>
              <w:jc w:val="both"/>
            </w:pPr>
            <w:r>
              <w:t>- по-ефективен обмен на информация и сътрудничество между съответните органи по въпросите на борбата с корупцията.</w:t>
            </w:r>
          </w:p>
          <w:p w14:paraId="63A1FAA5" w14:textId="77777777" w:rsidR="00585400" w:rsidRPr="00312D64" w:rsidRDefault="00585400" w:rsidP="00585400">
            <w:pPr>
              <w:spacing w:before="60" w:after="60"/>
              <w:jc w:val="both"/>
              <w:rPr>
                <w:b/>
                <w:i/>
              </w:rPr>
            </w:pPr>
            <w:r w:rsidRPr="00312D64">
              <w:rPr>
                <w:b/>
                <w:i/>
              </w:rPr>
              <w:t>Количествено измерими цели:</w:t>
            </w:r>
          </w:p>
          <w:p w14:paraId="58196EC5" w14:textId="77777777" w:rsidR="00585400" w:rsidRPr="005862E2" w:rsidRDefault="00585400" w:rsidP="00585400">
            <w:pPr>
              <w:spacing w:before="60" w:after="60"/>
              <w:jc w:val="both"/>
            </w:pPr>
            <w:r w:rsidRPr="005862E2">
              <w:t xml:space="preserve">- създадена нова база данни с лицеви съдържаща снимков материал на лица с полицейска регистрация </w:t>
            </w:r>
          </w:p>
          <w:p w14:paraId="62BB6BCF" w14:textId="77777777" w:rsidR="00585400" w:rsidRPr="005862E2" w:rsidRDefault="00585400" w:rsidP="00585400">
            <w:pPr>
              <w:spacing w:before="60" w:after="60"/>
              <w:jc w:val="both"/>
            </w:pPr>
            <w:r w:rsidRPr="005862E2">
              <w:t>- увеличаване на ДНК базата данни с 40</w:t>
            </w:r>
            <w:r>
              <w:t> </w:t>
            </w:r>
            <w:r w:rsidRPr="005862E2">
              <w:t>000 профила</w:t>
            </w:r>
          </w:p>
          <w:p w14:paraId="4B23C1C9" w14:textId="77777777" w:rsidR="00585400" w:rsidRDefault="00585400" w:rsidP="00585400">
            <w:pPr>
              <w:spacing w:before="60" w:after="60"/>
              <w:jc w:val="both"/>
            </w:pPr>
            <w:r w:rsidRPr="005862E2">
              <w:t>- увеличаване на балистичната база данни с не по-малко от 2</w:t>
            </w:r>
            <w:r>
              <w:t> </w:t>
            </w:r>
            <w:r w:rsidRPr="005862E2">
              <w:t>000 обекта</w:t>
            </w:r>
          </w:p>
          <w:p w14:paraId="35CE10D7" w14:textId="77777777" w:rsidR="00585400" w:rsidRDefault="00585400" w:rsidP="00585400">
            <w:pPr>
              <w:spacing w:before="60" w:after="60"/>
              <w:jc w:val="both"/>
            </w:pPr>
            <w:r>
              <w:lastRenderedPageBreak/>
              <w:t>- увеличаване на брой на потребителите на информационната система в областта на антикорупцията с приблизително 10 %</w:t>
            </w:r>
          </w:p>
          <w:p w14:paraId="3D68D342" w14:textId="77777777" w:rsidR="00585400" w:rsidRPr="005862E2" w:rsidRDefault="00585400" w:rsidP="00585400">
            <w:pPr>
              <w:spacing w:before="60" w:after="60"/>
              <w:jc w:val="both"/>
            </w:pPr>
            <w:r w:rsidRPr="006B280D">
              <w:t>- по-широко използване на SIENA и Информационната система на Европол (EIS)</w:t>
            </w:r>
            <w:r>
              <w:t xml:space="preserve"> по брой потребители и търсения</w:t>
            </w:r>
            <w:r w:rsidRPr="001B724C">
              <w:t>.</w:t>
            </w:r>
            <w:r>
              <w:t xml:space="preserve"> </w:t>
            </w:r>
          </w:p>
          <w:p w14:paraId="797D6BEE" w14:textId="77777777" w:rsidR="00585400" w:rsidRPr="00312D64" w:rsidRDefault="00585400" w:rsidP="00585400">
            <w:pPr>
              <w:spacing w:before="60" w:after="60"/>
              <w:jc w:val="both"/>
              <w:rPr>
                <w:b/>
                <w:i/>
              </w:rPr>
            </w:pPr>
            <w:r w:rsidRPr="00312D64">
              <w:rPr>
                <w:b/>
                <w:i/>
              </w:rPr>
              <w:t>Оперативна подкрепа</w:t>
            </w:r>
          </w:p>
          <w:p w14:paraId="5BA28B4F" w14:textId="77777777" w:rsidR="00585400" w:rsidRPr="005862E2" w:rsidRDefault="00585400" w:rsidP="00585400">
            <w:pPr>
              <w:spacing w:before="60" w:after="60"/>
              <w:jc w:val="both"/>
            </w:pPr>
            <w:r w:rsidRPr="005862E2">
              <w:t>Във връзка с ангажиментите на България за изпълнение на законодателството на ЕС за инструментите и системите за обмен на информация в областта на сигурността е необходимо да бъде осигурено надеждно и безпроблемно функциониране и поддръжка на системите, използвани за цели в областта на правоприлагането.</w:t>
            </w:r>
          </w:p>
          <w:p w14:paraId="05C74DAA" w14:textId="77777777" w:rsidR="00585400" w:rsidRPr="005862E2" w:rsidRDefault="00585400" w:rsidP="00585400">
            <w:pPr>
              <w:spacing w:before="60" w:after="60"/>
              <w:jc w:val="both"/>
            </w:pPr>
            <w:r w:rsidRPr="005862E2">
              <w:t>Предвижда се предоставяне на Оперативна подкрепа за следните публични организации във връзка с изпълнявани от тях задачи и услуги, които съставляват публична услуга за ЕС:</w:t>
            </w:r>
          </w:p>
          <w:p w14:paraId="49FB1ED1" w14:textId="77777777" w:rsidR="00585400" w:rsidRPr="005862E2" w:rsidRDefault="00585400" w:rsidP="00585400">
            <w:pPr>
              <w:spacing w:before="60" w:after="60"/>
              <w:jc w:val="both"/>
            </w:pPr>
            <w:r w:rsidRPr="005862E2">
              <w:t>Дирекция „Комуникационни и информационни системи“-МВР – е отговорна за изграждането, поддръжката и развитието на  ИКТ системи на МВР, включително ТЕТРА радио системата. Отговаря за техническото осигуряване и сигурността на обмена на информация с национални, евро</w:t>
            </w:r>
            <w:r>
              <w:t>пейски и международни структури</w:t>
            </w:r>
            <w:r w:rsidRPr="001B724C">
              <w:t>;</w:t>
            </w:r>
          </w:p>
          <w:p w14:paraId="41DA0A46" w14:textId="77777777" w:rsidR="00585400" w:rsidRPr="001B724C" w:rsidRDefault="00585400" w:rsidP="00585400">
            <w:pPr>
              <w:spacing w:before="60" w:after="60"/>
              <w:jc w:val="both"/>
            </w:pPr>
            <w:r w:rsidRPr="005862E2">
              <w:t>В Държавна агенция „Национална сигурност“ са създадени и разположени българското звено за данни за пътниците и з</w:t>
            </w:r>
            <w:r>
              <w:t>веното за финансово разузнаване</w:t>
            </w:r>
            <w:r w:rsidRPr="001B724C">
              <w:t>.</w:t>
            </w:r>
          </w:p>
          <w:p w14:paraId="64C8EACE" w14:textId="77777777" w:rsidR="00585400" w:rsidRPr="005862E2" w:rsidRDefault="00585400" w:rsidP="00585400">
            <w:pPr>
              <w:spacing w:before="60" w:after="60"/>
              <w:jc w:val="both"/>
            </w:pPr>
            <w:r>
              <w:t>Потенциални бенефициенти на оперативна подкрепа са също:</w:t>
            </w:r>
          </w:p>
          <w:p w14:paraId="0AE4D6B4" w14:textId="77777777" w:rsidR="00585400" w:rsidRPr="005862E2" w:rsidRDefault="00585400" w:rsidP="00585400">
            <w:pPr>
              <w:spacing w:before="60" w:after="60"/>
              <w:jc w:val="both"/>
            </w:pPr>
            <w:r w:rsidRPr="005862E2">
              <w:t>ДМОС-МВР – национална точка за контакт по линия на Интерпол, Европол и ШИС</w:t>
            </w:r>
            <w:r>
              <w:t>;</w:t>
            </w:r>
          </w:p>
          <w:p w14:paraId="080D6028" w14:textId="77777777" w:rsidR="00585400" w:rsidRPr="005862E2" w:rsidRDefault="00585400" w:rsidP="00585400">
            <w:pPr>
              <w:spacing w:before="60" w:after="60"/>
              <w:jc w:val="both"/>
            </w:pPr>
            <w:r w:rsidRPr="005862E2">
              <w:t xml:space="preserve">НИК-МВР – в </w:t>
            </w:r>
            <w:r>
              <w:t>института</w:t>
            </w:r>
            <w:r w:rsidRPr="005862E2">
              <w:t xml:space="preserve"> са изградени три информационни системи, осигуряващи обмен на дактилоскопични, ДН</w:t>
            </w:r>
            <w:r>
              <w:t>К и балистични данни с ДЧ на ЕС;</w:t>
            </w:r>
          </w:p>
          <w:p w14:paraId="042E8AD1" w14:textId="77777777" w:rsidR="00585400" w:rsidRPr="005862E2" w:rsidRDefault="00585400" w:rsidP="00585400">
            <w:pPr>
              <w:spacing w:before="60" w:after="60"/>
              <w:jc w:val="both"/>
            </w:pPr>
            <w:r w:rsidRPr="005862E2">
              <w:t>Дирекция „Вътрешна сигурност“-МВР – специализирана структура на МВР за оперативно-издирвателна и информационно-аналитична дейност, свързана с предотвратяване, разкриване и разследване на престъпления, извършени от служители на МВР. Координира и управлява и дейността на национално ниво по борбата срещу измамите, корупцията и други престъпления, извършени от служители на МВР.</w:t>
            </w:r>
          </w:p>
          <w:p w14:paraId="089034D1" w14:textId="77777777" w:rsidR="00585400" w:rsidRPr="005862E2" w:rsidRDefault="00585400" w:rsidP="00585400">
            <w:pPr>
              <w:spacing w:before="60" w:after="60"/>
              <w:jc w:val="both"/>
            </w:pPr>
            <w:r w:rsidRPr="005862E2">
              <w:t>Оперативната подкрепа ще покрива разходи за: поддръжка и бюро за помощ за свързани със сигурността системи на Съюза и национални ИКТ системи и мрежи.</w:t>
            </w:r>
          </w:p>
          <w:p w14:paraId="1F46F4F1" w14:textId="77777777" w:rsidR="00585400" w:rsidRPr="005862E2" w:rsidRDefault="00585400" w:rsidP="00585400">
            <w:pPr>
              <w:spacing w:before="60" w:after="60"/>
              <w:jc w:val="both"/>
            </w:pPr>
            <w:r w:rsidRPr="005862E2">
              <w:t>Предвидени с</w:t>
            </w:r>
            <w:r>
              <w:t>а следните действия/проекти за о</w:t>
            </w:r>
            <w:r w:rsidRPr="005862E2">
              <w:t>перативна подкрепа:</w:t>
            </w:r>
          </w:p>
          <w:p w14:paraId="002F922E" w14:textId="77777777" w:rsidR="00585400" w:rsidRPr="005862E2" w:rsidRDefault="00585400" w:rsidP="00585400">
            <w:pPr>
              <w:spacing w:before="60" w:after="60"/>
              <w:jc w:val="both"/>
            </w:pPr>
            <w:r w:rsidRPr="005862E2">
              <w:t>- Поддръжка на автоматизирани полицейски информационни системи</w:t>
            </w:r>
          </w:p>
          <w:p w14:paraId="3C078CE8" w14:textId="77777777" w:rsidR="00585400" w:rsidRPr="005862E2" w:rsidRDefault="00585400" w:rsidP="00585400">
            <w:pPr>
              <w:spacing w:before="60" w:after="60"/>
              <w:jc w:val="both"/>
            </w:pPr>
            <w:r w:rsidRPr="005862E2">
              <w:t>- Осигуряване на поддръжка от производителя на лицензи за СУБД, системен софтуер и операционни системи</w:t>
            </w:r>
          </w:p>
          <w:p w14:paraId="08B581D8" w14:textId="77777777" w:rsidR="00585400" w:rsidRPr="005862E2" w:rsidRDefault="00585400" w:rsidP="00585400">
            <w:pPr>
              <w:spacing w:before="60" w:after="60"/>
              <w:jc w:val="both"/>
            </w:pPr>
            <w:r w:rsidRPr="005862E2">
              <w:t>- Следгаранционна поддръжка на изградена ТЕТРА система на МВР</w:t>
            </w:r>
          </w:p>
          <w:p w14:paraId="3642EA00" w14:textId="77777777" w:rsidR="00A77B3E" w:rsidRDefault="00585400" w:rsidP="00585400">
            <w:pPr>
              <w:spacing w:before="100"/>
              <w:rPr>
                <w:color w:val="000000"/>
              </w:rPr>
            </w:pPr>
            <w:r w:rsidRPr="005862E2">
              <w:t>- Заплащане на годишни такси за поддръжка на специализирана софтуерна система за анализ на ФРИ, постъпваща по ЗМИП и ЗМФТ</w:t>
            </w:r>
            <w:r>
              <w:t>.</w:t>
            </w:r>
          </w:p>
        </w:tc>
      </w:tr>
    </w:tbl>
    <w:p w14:paraId="6C7B6DCA" w14:textId="77777777" w:rsidR="00A77B3E" w:rsidRDefault="00A77B3E">
      <w:pPr>
        <w:spacing w:before="100"/>
        <w:rPr>
          <w:color w:val="000000"/>
        </w:rPr>
        <w:sectPr w:rsidR="00A77B3E">
          <w:headerReference w:type="even" r:id="rId17"/>
          <w:headerReference w:type="default" r:id="rId18"/>
          <w:footerReference w:type="even" r:id="rId19"/>
          <w:footerReference w:type="default" r:id="rId20"/>
          <w:headerReference w:type="first" r:id="rId21"/>
          <w:footerReference w:type="first" r:id="rId22"/>
          <w:pgSz w:w="11906" w:h="16838"/>
          <w:pgMar w:top="720" w:right="936" w:bottom="864" w:left="720" w:header="0" w:footer="72" w:gutter="0"/>
          <w:cols w:space="720"/>
          <w:noEndnote/>
          <w:docGrid w:linePitch="360"/>
        </w:sectPr>
      </w:pPr>
    </w:p>
    <w:p w14:paraId="562FC3AF" w14:textId="77777777" w:rsidR="00A77B3E" w:rsidRDefault="00E62050">
      <w:pPr>
        <w:spacing w:before="100"/>
        <w:rPr>
          <w:color w:val="000000"/>
        </w:rPr>
      </w:pPr>
      <w:r>
        <w:rPr>
          <w:color w:val="000000"/>
        </w:rPr>
        <w:lastRenderedPageBreak/>
        <w:t xml:space="preserve">2.1. </w:t>
      </w:r>
      <w:r w:rsidR="004A582B" w:rsidRPr="004A582B">
        <w:rPr>
          <w:color w:val="000000"/>
        </w:rPr>
        <w:t>Специфична цел: 1. Обмен на информация</w:t>
      </w:r>
    </w:p>
    <w:p w14:paraId="01730099" w14:textId="77777777" w:rsidR="00A77B3E" w:rsidRDefault="00E62050">
      <w:pPr>
        <w:pStyle w:val="Heading3"/>
        <w:spacing w:before="100" w:after="0"/>
        <w:rPr>
          <w:rFonts w:ascii="Times New Roman" w:hAnsi="Times New Roman" w:cs="Times New Roman"/>
          <w:b w:val="0"/>
          <w:color w:val="000000"/>
          <w:sz w:val="24"/>
        </w:rPr>
      </w:pPr>
      <w:bookmarkStart w:id="4" w:name="_Toc129599278"/>
      <w:r>
        <w:rPr>
          <w:rFonts w:ascii="Times New Roman" w:hAnsi="Times New Roman" w:cs="Times New Roman"/>
          <w:b w:val="0"/>
          <w:color w:val="000000"/>
          <w:sz w:val="24"/>
        </w:rPr>
        <w:t xml:space="preserve">2.1.2. </w:t>
      </w:r>
      <w:r w:rsidR="004A582B">
        <w:rPr>
          <w:rFonts w:ascii="Times New Roman" w:hAnsi="Times New Roman" w:cs="Times New Roman"/>
          <w:b w:val="0"/>
          <w:color w:val="000000"/>
          <w:sz w:val="24"/>
          <w:lang w:val="bg-BG"/>
        </w:rPr>
        <w:t>Показатели</w:t>
      </w:r>
      <w:bookmarkEnd w:id="4"/>
    </w:p>
    <w:p w14:paraId="33EA8FE6" w14:textId="77777777" w:rsidR="00A77B3E" w:rsidRDefault="004A582B">
      <w:pPr>
        <w:spacing w:before="100"/>
        <w:rPr>
          <w:color w:val="000000"/>
          <w:sz w:val="12"/>
        </w:rPr>
      </w:pPr>
      <w:r w:rsidRPr="004A582B">
        <w:rPr>
          <w:color w:val="000000"/>
        </w:rPr>
        <w:t>Основание: член 22, параграф 4, буква д) от РОР</w:t>
      </w:r>
    </w:p>
    <w:p w14:paraId="489F4BBD" w14:textId="77777777" w:rsidR="00A77B3E" w:rsidRDefault="004A582B">
      <w:pPr>
        <w:pStyle w:val="Heading4"/>
        <w:spacing w:before="100" w:after="0"/>
        <w:rPr>
          <w:b w:val="0"/>
          <w:color w:val="000000"/>
          <w:sz w:val="24"/>
        </w:rPr>
      </w:pPr>
      <w:bookmarkStart w:id="5" w:name="_Toc129599279"/>
      <w:r w:rsidRPr="004A582B">
        <w:rPr>
          <w:b w:val="0"/>
          <w:color w:val="000000"/>
          <w:sz w:val="24"/>
        </w:rPr>
        <w:t>Таблица 1: Показатели за крайния продукт</w:t>
      </w:r>
      <w:bookmarkEnd w:id="5"/>
    </w:p>
    <w:p w14:paraId="2229673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5918"/>
        <w:gridCol w:w="1657"/>
        <w:gridCol w:w="2472"/>
        <w:gridCol w:w="2655"/>
      </w:tblGrid>
      <w:tr w:rsidR="004A582B" w:rsidRPr="004A582B" w14:paraId="395A3D69" w14:textId="77777777" w:rsidTr="00235B8B">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689693" w14:textId="77777777" w:rsidR="004A582B" w:rsidRPr="004A582B" w:rsidRDefault="004A582B" w:rsidP="004A582B">
            <w:pPr>
              <w:spacing w:before="100"/>
              <w:jc w:val="center"/>
              <w:rPr>
                <w:color w:val="000000"/>
                <w:sz w:val="20"/>
                <w:szCs w:val="20"/>
              </w:rPr>
            </w:pPr>
            <w:r w:rsidRPr="004A582B">
              <w:rPr>
                <w:sz w:val="20"/>
                <w:szCs w:val="20"/>
              </w:rPr>
              <w:t>Идентификационен код</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53BBA" w14:textId="77777777" w:rsidR="004A582B" w:rsidRPr="004A582B" w:rsidRDefault="004A582B" w:rsidP="004A582B">
            <w:pPr>
              <w:spacing w:before="100"/>
              <w:jc w:val="center"/>
              <w:rPr>
                <w:color w:val="000000"/>
                <w:sz w:val="20"/>
                <w:szCs w:val="20"/>
              </w:rPr>
            </w:pPr>
            <w:r w:rsidRPr="004A582B">
              <w:rPr>
                <w:sz w:val="20"/>
                <w:szCs w:val="20"/>
              </w:rPr>
              <w:t>Показател</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B11C7F" w14:textId="77777777" w:rsidR="004A582B" w:rsidRPr="004A582B" w:rsidRDefault="004A582B" w:rsidP="004A582B">
            <w:pPr>
              <w:spacing w:before="100"/>
              <w:jc w:val="center"/>
              <w:rPr>
                <w:color w:val="000000"/>
                <w:sz w:val="20"/>
                <w:szCs w:val="20"/>
              </w:rPr>
            </w:pPr>
            <w:r w:rsidRPr="004A582B">
              <w:rPr>
                <w:sz w:val="20"/>
                <w:szCs w:val="20"/>
              </w:rPr>
              <w:t>Мерна единица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9F0A62" w14:textId="77777777" w:rsidR="004A582B" w:rsidRPr="004A582B" w:rsidRDefault="004A582B" w:rsidP="004A582B">
            <w:pPr>
              <w:spacing w:before="100"/>
              <w:jc w:val="center"/>
              <w:rPr>
                <w:color w:val="000000"/>
                <w:sz w:val="20"/>
                <w:szCs w:val="20"/>
              </w:rPr>
            </w:pPr>
            <w:r w:rsidRPr="004A582B">
              <w:rPr>
                <w:sz w:val="20"/>
                <w:szCs w:val="20"/>
              </w:rPr>
              <w:t>Междинна цел (2024 г.)</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5E07B3" w14:textId="77777777" w:rsidR="004A582B" w:rsidRPr="004A582B" w:rsidRDefault="004A582B" w:rsidP="004A582B">
            <w:pPr>
              <w:spacing w:before="100"/>
              <w:jc w:val="center"/>
              <w:rPr>
                <w:color w:val="000000"/>
                <w:sz w:val="20"/>
                <w:szCs w:val="20"/>
              </w:rPr>
            </w:pPr>
            <w:r w:rsidRPr="004A582B">
              <w:rPr>
                <w:sz w:val="20"/>
                <w:szCs w:val="20"/>
              </w:rPr>
              <w:t>Целева стойност (2029 г.)</w:t>
            </w:r>
          </w:p>
        </w:tc>
      </w:tr>
      <w:tr w:rsidR="004A582B" w:rsidRPr="004A582B" w14:paraId="155C685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F2C7C0" w14:textId="77777777" w:rsidR="004A582B" w:rsidRPr="004A582B" w:rsidRDefault="004A582B" w:rsidP="004A582B">
            <w:pPr>
              <w:spacing w:before="100"/>
              <w:rPr>
                <w:color w:val="000000"/>
                <w:sz w:val="20"/>
                <w:szCs w:val="20"/>
              </w:rPr>
            </w:pPr>
            <w:r w:rsidRPr="004A582B">
              <w:rPr>
                <w:color w:val="000000"/>
                <w:sz w:val="20"/>
                <w:szCs w:val="20"/>
              </w:rPr>
              <w:t>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E5EC16" w14:textId="77777777" w:rsidR="004A582B" w:rsidRPr="004A582B" w:rsidRDefault="004A582B" w:rsidP="004A582B">
            <w:pPr>
              <w:spacing w:before="100"/>
              <w:rPr>
                <w:color w:val="000000"/>
                <w:sz w:val="20"/>
                <w:szCs w:val="20"/>
              </w:rPr>
            </w:pPr>
            <w:r>
              <w:rPr>
                <w:color w:val="000000"/>
                <w:sz w:val="20"/>
              </w:rPr>
              <w:t xml:space="preserve">Брой </w:t>
            </w:r>
            <w:r w:rsidRPr="00BC44C5">
              <w:rPr>
                <w:color w:val="000000"/>
                <w:sz w:val="20"/>
              </w:rPr>
              <w:t>участници в дейности по обучение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9EF1F1" w14:textId="77777777" w:rsidR="004A582B" w:rsidRPr="004A582B" w:rsidRDefault="004A582B" w:rsidP="004A582B">
            <w:pPr>
              <w:spacing w:before="100"/>
              <w:rPr>
                <w:color w:val="000000"/>
                <w:sz w:val="20"/>
                <w:szCs w:val="20"/>
              </w:rPr>
            </w:pPr>
            <w:r>
              <w:rPr>
                <w:color w:val="000000"/>
                <w:sz w:val="20"/>
              </w:rPr>
              <w:t>брой</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B47E3E" w14:textId="77777777" w:rsidR="004A582B" w:rsidRPr="004A582B" w:rsidRDefault="004A582B" w:rsidP="004A582B">
            <w:pPr>
              <w:spacing w:before="100"/>
              <w:jc w:val="right"/>
              <w:rPr>
                <w:color w:val="000000"/>
                <w:sz w:val="20"/>
                <w:szCs w:val="20"/>
              </w:rPr>
            </w:pPr>
            <w:r w:rsidRPr="004A582B">
              <w:rPr>
                <w:color w:val="000000"/>
                <w:sz w:val="20"/>
                <w:szCs w:val="20"/>
              </w:rPr>
              <w:t>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5C0C9A" w14:textId="77777777" w:rsidR="004A582B" w:rsidRPr="004A582B" w:rsidRDefault="004A582B" w:rsidP="004A582B">
            <w:pPr>
              <w:spacing w:before="100"/>
              <w:jc w:val="right"/>
              <w:rPr>
                <w:color w:val="000000"/>
                <w:sz w:val="20"/>
                <w:szCs w:val="20"/>
              </w:rPr>
            </w:pPr>
            <w:r w:rsidRPr="004A582B">
              <w:rPr>
                <w:color w:val="000000"/>
                <w:sz w:val="20"/>
                <w:szCs w:val="20"/>
              </w:rPr>
              <w:t>450</w:t>
            </w:r>
          </w:p>
        </w:tc>
      </w:tr>
      <w:tr w:rsidR="004A582B" w:rsidRPr="004A582B" w14:paraId="1EF578B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1C4101" w14:textId="77777777" w:rsidR="004A582B" w:rsidRPr="004A582B" w:rsidRDefault="004A582B" w:rsidP="004A582B">
            <w:pPr>
              <w:spacing w:before="100"/>
              <w:rPr>
                <w:color w:val="000000"/>
                <w:sz w:val="20"/>
                <w:szCs w:val="20"/>
              </w:rPr>
            </w:pPr>
            <w:r w:rsidRPr="004A582B">
              <w:rPr>
                <w:color w:val="000000"/>
                <w:sz w:val="20"/>
                <w:szCs w:val="20"/>
              </w:rPr>
              <w:t>O.1.2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F683F3" w14:textId="77777777" w:rsidR="004A582B" w:rsidRPr="004A582B" w:rsidRDefault="004A582B" w:rsidP="004A582B">
            <w:pPr>
              <w:spacing w:before="100"/>
              <w:rPr>
                <w:color w:val="000000"/>
                <w:sz w:val="20"/>
                <w:szCs w:val="20"/>
              </w:rPr>
            </w:pPr>
            <w:r w:rsidRPr="00BC44C5">
              <w:rPr>
                <w:color w:val="000000"/>
                <w:sz w:val="20"/>
              </w:rPr>
              <w:t>Брой експертни срещи/семинари/проучвателни посещения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30F125" w14:textId="77777777" w:rsidR="004A582B" w:rsidRPr="004A582B" w:rsidRDefault="004A582B" w:rsidP="004A582B">
            <w:pPr>
              <w:spacing w:before="100"/>
              <w:rPr>
                <w:color w:val="000000"/>
                <w:sz w:val="20"/>
                <w:szCs w:val="20"/>
              </w:rPr>
            </w:pPr>
            <w:r>
              <w:rPr>
                <w:color w:val="000000"/>
                <w:sz w:val="20"/>
              </w:rPr>
              <w:t>брой</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9FF9A0" w14:textId="77777777" w:rsidR="004A582B" w:rsidRPr="004A582B" w:rsidRDefault="004A582B" w:rsidP="004A582B">
            <w:pPr>
              <w:spacing w:before="100"/>
              <w:jc w:val="right"/>
              <w:rPr>
                <w:color w:val="000000"/>
                <w:sz w:val="20"/>
                <w:szCs w:val="20"/>
              </w:rPr>
            </w:pPr>
            <w:r w:rsidRPr="004A582B">
              <w:rPr>
                <w:color w:val="000000"/>
                <w:sz w:val="20"/>
                <w:szCs w:val="2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383928" w14:textId="77777777" w:rsidR="004A582B" w:rsidRPr="004A582B" w:rsidRDefault="004A582B" w:rsidP="004A582B">
            <w:pPr>
              <w:spacing w:before="100"/>
              <w:jc w:val="right"/>
              <w:rPr>
                <w:color w:val="000000"/>
                <w:sz w:val="20"/>
                <w:szCs w:val="20"/>
              </w:rPr>
            </w:pPr>
            <w:r w:rsidRPr="004A582B">
              <w:rPr>
                <w:color w:val="000000"/>
                <w:sz w:val="20"/>
                <w:szCs w:val="20"/>
              </w:rPr>
              <w:t>19</w:t>
            </w:r>
          </w:p>
        </w:tc>
      </w:tr>
      <w:tr w:rsidR="004A582B" w:rsidRPr="004A582B" w14:paraId="1B89222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23EAE1" w14:textId="77777777" w:rsidR="004A582B" w:rsidRPr="004A582B" w:rsidRDefault="004A582B" w:rsidP="004A582B">
            <w:pPr>
              <w:spacing w:before="100"/>
              <w:rPr>
                <w:color w:val="000000"/>
                <w:sz w:val="20"/>
                <w:szCs w:val="20"/>
              </w:rPr>
            </w:pPr>
            <w:r w:rsidRPr="004A582B">
              <w:rPr>
                <w:color w:val="000000"/>
                <w:sz w:val="20"/>
                <w:szCs w:val="20"/>
              </w:rPr>
              <w:t>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F69CA4" w14:textId="77777777" w:rsidR="004A582B" w:rsidRPr="004A582B" w:rsidRDefault="004A582B" w:rsidP="004A582B">
            <w:pPr>
              <w:spacing w:before="100"/>
              <w:rPr>
                <w:color w:val="000000"/>
                <w:sz w:val="20"/>
                <w:szCs w:val="20"/>
              </w:rPr>
            </w:pPr>
            <w:r w:rsidRPr="00BC44C5">
              <w:rPr>
                <w:color w:val="000000"/>
                <w:sz w:val="20"/>
              </w:rPr>
              <w:t>Брой създадени/адаптирани/поддържани системи на ИКТ</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E436CA" w14:textId="77777777" w:rsidR="004A582B" w:rsidRPr="004A582B" w:rsidRDefault="004A582B" w:rsidP="004A582B">
            <w:pPr>
              <w:spacing w:before="100"/>
              <w:rPr>
                <w:color w:val="000000"/>
                <w:sz w:val="20"/>
                <w:szCs w:val="20"/>
              </w:rPr>
            </w:pPr>
            <w:r>
              <w:rPr>
                <w:color w:val="000000"/>
                <w:sz w:val="20"/>
              </w:rPr>
              <w:t>брой</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16BCDA" w14:textId="77777777" w:rsidR="004A582B" w:rsidRPr="004A582B" w:rsidRDefault="004A582B" w:rsidP="004A582B">
            <w:pPr>
              <w:spacing w:before="100"/>
              <w:jc w:val="right"/>
              <w:rPr>
                <w:color w:val="000000"/>
                <w:sz w:val="20"/>
                <w:szCs w:val="20"/>
              </w:rPr>
            </w:pPr>
            <w:r w:rsidRPr="004A582B">
              <w:rPr>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57A606" w14:textId="77777777" w:rsidR="004A582B" w:rsidRPr="004A582B" w:rsidRDefault="004A582B" w:rsidP="004A582B">
            <w:pPr>
              <w:spacing w:before="100"/>
              <w:jc w:val="right"/>
              <w:rPr>
                <w:color w:val="000000"/>
                <w:sz w:val="20"/>
                <w:szCs w:val="20"/>
              </w:rPr>
            </w:pPr>
            <w:r w:rsidRPr="004A582B">
              <w:rPr>
                <w:color w:val="000000"/>
                <w:sz w:val="20"/>
                <w:szCs w:val="20"/>
              </w:rPr>
              <w:t>11</w:t>
            </w:r>
          </w:p>
        </w:tc>
      </w:tr>
      <w:tr w:rsidR="004A582B" w:rsidRPr="004A582B" w14:paraId="579900C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F0E4B2" w14:textId="77777777" w:rsidR="004A582B" w:rsidRPr="004A582B" w:rsidRDefault="004A582B" w:rsidP="004A582B">
            <w:pPr>
              <w:spacing w:before="100"/>
              <w:rPr>
                <w:color w:val="000000"/>
                <w:sz w:val="20"/>
                <w:szCs w:val="20"/>
              </w:rPr>
            </w:pPr>
            <w:r w:rsidRPr="004A582B">
              <w:rPr>
                <w:color w:val="000000"/>
                <w:sz w:val="20"/>
                <w:szCs w:val="20"/>
              </w:rPr>
              <w:t>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828464" w14:textId="77777777" w:rsidR="004A582B" w:rsidRPr="004A582B" w:rsidRDefault="004A582B" w:rsidP="004A582B">
            <w:pPr>
              <w:spacing w:before="100"/>
              <w:rPr>
                <w:color w:val="000000"/>
                <w:sz w:val="20"/>
                <w:szCs w:val="20"/>
              </w:rPr>
            </w:pPr>
            <w:r w:rsidRPr="00BC44C5">
              <w:rPr>
                <w:color w:val="000000"/>
                <w:sz w:val="20"/>
              </w:rPr>
              <w:t>Брой закупени единици оборудване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1DB065" w14:textId="77777777" w:rsidR="004A582B" w:rsidRPr="004A582B" w:rsidRDefault="004A582B" w:rsidP="004A582B">
            <w:pPr>
              <w:spacing w:before="100"/>
              <w:rPr>
                <w:color w:val="000000"/>
                <w:sz w:val="20"/>
                <w:szCs w:val="20"/>
              </w:rPr>
            </w:pPr>
            <w:r>
              <w:rPr>
                <w:color w:val="000000"/>
                <w:sz w:val="20"/>
              </w:rPr>
              <w:t>брой</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04D1C7" w14:textId="77777777" w:rsidR="004A582B" w:rsidRPr="004A582B" w:rsidRDefault="004A582B" w:rsidP="004A582B">
            <w:pPr>
              <w:spacing w:before="100"/>
              <w:jc w:val="right"/>
              <w:rPr>
                <w:color w:val="000000"/>
                <w:sz w:val="20"/>
                <w:szCs w:val="20"/>
              </w:rPr>
            </w:pPr>
            <w:r w:rsidRPr="004A582B">
              <w:rPr>
                <w:color w:val="000000"/>
                <w:sz w:val="20"/>
                <w:szCs w:val="20"/>
              </w:rPr>
              <w:t>160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F0BD3F" w14:textId="77777777" w:rsidR="004A582B" w:rsidRPr="004A582B" w:rsidRDefault="004A582B" w:rsidP="004A582B">
            <w:pPr>
              <w:spacing w:before="100"/>
              <w:jc w:val="right"/>
              <w:rPr>
                <w:color w:val="000000"/>
                <w:sz w:val="20"/>
                <w:szCs w:val="20"/>
              </w:rPr>
            </w:pPr>
            <w:r w:rsidRPr="004A582B">
              <w:rPr>
                <w:color w:val="000000"/>
                <w:sz w:val="20"/>
                <w:szCs w:val="20"/>
              </w:rPr>
              <w:t>250</w:t>
            </w:r>
          </w:p>
        </w:tc>
      </w:tr>
    </w:tbl>
    <w:p w14:paraId="23BF21BE" w14:textId="77777777" w:rsidR="00A77B3E" w:rsidRDefault="00E62050">
      <w:pPr>
        <w:spacing w:before="100"/>
        <w:rPr>
          <w:color w:val="000000"/>
        </w:rPr>
      </w:pPr>
      <w:r>
        <w:rPr>
          <w:color w:val="000000"/>
          <w:sz w:val="20"/>
        </w:rPr>
        <w:br w:type="page"/>
      </w:r>
      <w:r>
        <w:rPr>
          <w:color w:val="000000"/>
        </w:rPr>
        <w:lastRenderedPageBreak/>
        <w:t xml:space="preserve">2.1. </w:t>
      </w:r>
      <w:r w:rsidR="004A582B" w:rsidRPr="004A582B">
        <w:rPr>
          <w:color w:val="000000"/>
          <w:lang w:val="bg-BG"/>
        </w:rPr>
        <w:t>Специфична цел: 1. Обмен на информация</w:t>
      </w:r>
    </w:p>
    <w:p w14:paraId="767E34E3" w14:textId="77777777" w:rsidR="00A77B3E" w:rsidRDefault="00E62050">
      <w:pPr>
        <w:spacing w:before="100"/>
        <w:rPr>
          <w:color w:val="000000"/>
          <w:sz w:val="0"/>
        </w:rPr>
      </w:pPr>
      <w:r>
        <w:rPr>
          <w:color w:val="000000"/>
        </w:rPr>
        <w:t xml:space="preserve">2.1.2. </w:t>
      </w:r>
      <w:bookmarkStart w:id="6" w:name="_Toc129347884"/>
      <w:r w:rsidR="004A582B" w:rsidRPr="004A582B">
        <w:rPr>
          <w:color w:val="000000"/>
          <w:lang w:val="bg-BG"/>
        </w:rPr>
        <w:t>Показатели</w:t>
      </w:r>
      <w:bookmarkEnd w:id="6"/>
    </w:p>
    <w:p w14:paraId="62BFD183" w14:textId="77777777" w:rsidR="00A77B3E" w:rsidRDefault="004A582B">
      <w:pPr>
        <w:spacing w:before="100"/>
        <w:rPr>
          <w:color w:val="000000"/>
          <w:sz w:val="12"/>
        </w:rPr>
      </w:pPr>
      <w:r w:rsidRPr="004A582B">
        <w:rPr>
          <w:color w:val="000000"/>
        </w:rPr>
        <w:t>Основание: член 22, параграф 4, буква д) от РОР</w:t>
      </w:r>
    </w:p>
    <w:p w14:paraId="73D581E7" w14:textId="77777777" w:rsidR="00A77B3E" w:rsidRDefault="004A582B">
      <w:pPr>
        <w:pStyle w:val="Heading4"/>
        <w:spacing w:before="100" w:after="0"/>
        <w:rPr>
          <w:b w:val="0"/>
          <w:color w:val="000000"/>
          <w:sz w:val="24"/>
        </w:rPr>
      </w:pPr>
      <w:bookmarkStart w:id="7" w:name="_Toc129599280"/>
      <w:r w:rsidRPr="004A582B">
        <w:rPr>
          <w:b w:val="0"/>
          <w:color w:val="000000"/>
          <w:sz w:val="24"/>
        </w:rPr>
        <w:t>Таблица 2: Показатели за резултата</w:t>
      </w:r>
      <w:bookmarkEnd w:id="7"/>
    </w:p>
    <w:p w14:paraId="60E569A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4A582B" w:rsidRPr="004A582B" w14:paraId="3A7217D8" w14:textId="77777777" w:rsidTr="00235B8B">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136437" w14:textId="77777777" w:rsidR="004A582B" w:rsidRPr="004A582B" w:rsidRDefault="004A582B" w:rsidP="004A582B">
            <w:pPr>
              <w:spacing w:before="100"/>
              <w:jc w:val="center"/>
              <w:rPr>
                <w:color w:val="000000"/>
                <w:sz w:val="20"/>
                <w:szCs w:val="20"/>
              </w:rPr>
            </w:pPr>
            <w:r w:rsidRPr="004A582B">
              <w:rPr>
                <w:sz w:val="20"/>
                <w:szCs w:val="20"/>
              </w:rPr>
              <w:t>Идентификационен код</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F87A6E" w14:textId="77777777" w:rsidR="004A582B" w:rsidRPr="004A582B" w:rsidRDefault="004A582B" w:rsidP="004A582B">
            <w:pPr>
              <w:spacing w:before="100"/>
              <w:jc w:val="center"/>
              <w:rPr>
                <w:color w:val="000000"/>
                <w:sz w:val="20"/>
                <w:szCs w:val="20"/>
              </w:rPr>
            </w:pPr>
            <w:r w:rsidRPr="004A582B">
              <w:rPr>
                <w:sz w:val="20"/>
                <w:szCs w:val="20"/>
              </w:rPr>
              <w:t>Показател</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DAFBE" w14:textId="77777777" w:rsidR="004A582B" w:rsidRPr="004A582B" w:rsidRDefault="004A582B" w:rsidP="004A582B">
            <w:pPr>
              <w:spacing w:before="100"/>
              <w:jc w:val="center"/>
              <w:rPr>
                <w:color w:val="000000"/>
                <w:sz w:val="20"/>
                <w:szCs w:val="20"/>
              </w:rPr>
            </w:pPr>
            <w:r w:rsidRPr="004A582B">
              <w:rPr>
                <w:sz w:val="20"/>
                <w:szCs w:val="20"/>
              </w:rPr>
              <w:t>Мерна единица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CBE782" w14:textId="77777777" w:rsidR="004A582B" w:rsidRPr="004A582B" w:rsidRDefault="004A582B" w:rsidP="004A582B">
            <w:pPr>
              <w:spacing w:before="100"/>
              <w:jc w:val="center"/>
              <w:rPr>
                <w:color w:val="000000"/>
                <w:sz w:val="20"/>
                <w:szCs w:val="20"/>
              </w:rPr>
            </w:pPr>
            <w:r w:rsidRPr="004A582B">
              <w:rPr>
                <w:sz w:val="20"/>
                <w:szCs w:val="20"/>
              </w:rPr>
              <w:t>Базова стойност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7D5E1C" w14:textId="77777777" w:rsidR="004A582B" w:rsidRPr="004A582B" w:rsidRDefault="004A582B" w:rsidP="004A582B">
            <w:pPr>
              <w:spacing w:before="100"/>
              <w:jc w:val="center"/>
              <w:rPr>
                <w:color w:val="000000"/>
                <w:sz w:val="20"/>
                <w:szCs w:val="20"/>
              </w:rPr>
            </w:pPr>
            <w:r w:rsidRPr="004A582B">
              <w:rPr>
                <w:sz w:val="20"/>
                <w:szCs w:val="20"/>
              </w:rPr>
              <w:t>Мерна единица за базовата стойност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9049FD" w14:textId="77777777" w:rsidR="004A582B" w:rsidRPr="004A582B" w:rsidRDefault="004A582B" w:rsidP="004A582B">
            <w:pPr>
              <w:spacing w:before="100"/>
              <w:jc w:val="center"/>
              <w:rPr>
                <w:color w:val="000000"/>
                <w:sz w:val="20"/>
                <w:szCs w:val="20"/>
              </w:rPr>
            </w:pPr>
            <w:r w:rsidRPr="004A582B">
              <w:rPr>
                <w:sz w:val="20"/>
                <w:szCs w:val="20"/>
              </w:rPr>
              <w:t>Референтна(и) година(и)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734561" w14:textId="77777777" w:rsidR="004A582B" w:rsidRPr="004A582B" w:rsidRDefault="004A582B" w:rsidP="004A582B">
            <w:pPr>
              <w:spacing w:before="100"/>
              <w:jc w:val="center"/>
              <w:rPr>
                <w:color w:val="000000"/>
                <w:sz w:val="20"/>
                <w:szCs w:val="20"/>
              </w:rPr>
            </w:pPr>
            <w:r w:rsidRPr="004A582B">
              <w:rPr>
                <w:sz w:val="20"/>
                <w:szCs w:val="20"/>
              </w:rPr>
              <w:t>Целева стойност (2029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39653D" w14:textId="77777777" w:rsidR="004A582B" w:rsidRPr="004A582B" w:rsidRDefault="004A582B" w:rsidP="004A582B">
            <w:pPr>
              <w:spacing w:before="100"/>
              <w:jc w:val="center"/>
              <w:rPr>
                <w:color w:val="000000"/>
                <w:sz w:val="20"/>
                <w:szCs w:val="20"/>
              </w:rPr>
            </w:pPr>
            <w:r w:rsidRPr="004A582B">
              <w:rPr>
                <w:sz w:val="20"/>
                <w:szCs w:val="20"/>
              </w:rPr>
              <w:t>Мерна единица за целевата стойност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EDCE8C" w14:textId="77777777" w:rsidR="004A582B" w:rsidRPr="004A582B" w:rsidRDefault="004A582B" w:rsidP="004A582B">
            <w:pPr>
              <w:spacing w:before="100"/>
              <w:jc w:val="center"/>
              <w:rPr>
                <w:color w:val="000000"/>
                <w:sz w:val="20"/>
                <w:szCs w:val="20"/>
              </w:rPr>
            </w:pPr>
            <w:r w:rsidRPr="004A582B">
              <w:rPr>
                <w:sz w:val="20"/>
                <w:szCs w:val="20"/>
              </w:rPr>
              <w:t>Източник на данни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198E3A" w14:textId="77777777" w:rsidR="004A582B" w:rsidRPr="004A582B" w:rsidRDefault="004A582B" w:rsidP="004A582B">
            <w:pPr>
              <w:spacing w:before="100"/>
              <w:rPr>
                <w:color w:val="000000"/>
                <w:sz w:val="20"/>
                <w:szCs w:val="20"/>
              </w:rPr>
            </w:pPr>
            <w:r w:rsidRPr="004A582B">
              <w:rPr>
                <w:sz w:val="20"/>
                <w:szCs w:val="20"/>
              </w:rPr>
              <w:t>Коментари</w:t>
            </w:r>
          </w:p>
        </w:tc>
      </w:tr>
      <w:tr w:rsidR="004A582B" w:rsidRPr="004A582B" w14:paraId="66B44D8F"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098BF7" w14:textId="77777777" w:rsidR="004A582B" w:rsidRPr="004A582B" w:rsidRDefault="004A582B" w:rsidP="004A582B">
            <w:pPr>
              <w:spacing w:before="100"/>
              <w:rPr>
                <w:color w:val="000000"/>
                <w:sz w:val="20"/>
                <w:szCs w:val="20"/>
              </w:rPr>
            </w:pPr>
            <w:r w:rsidRPr="004A582B">
              <w:rPr>
                <w:sz w:val="20"/>
                <w:szCs w:val="20"/>
              </w:rPr>
              <w:t>R.1.5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4B5C0B" w14:textId="77777777" w:rsidR="004A582B" w:rsidRPr="004A582B" w:rsidRDefault="004A582B" w:rsidP="004A582B">
            <w:pPr>
              <w:spacing w:before="100"/>
              <w:rPr>
                <w:color w:val="000000"/>
                <w:sz w:val="20"/>
                <w:szCs w:val="20"/>
              </w:rPr>
            </w:pPr>
            <w:r w:rsidRPr="004A582B">
              <w:rPr>
                <w:sz w:val="20"/>
                <w:szCs w:val="20"/>
              </w:rPr>
              <w:t>Брой системи на ИКТ, които са оперативно съвместими в държавите членки/със свързани със сигурността информационни системи на ЕС и децентрализирани такива/с международни бази данни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6FF9E" w14:textId="77777777" w:rsidR="004A582B" w:rsidRPr="004A582B" w:rsidRDefault="004A582B" w:rsidP="004A582B">
            <w:pPr>
              <w:spacing w:before="100"/>
              <w:rPr>
                <w:color w:val="000000"/>
                <w:sz w:val="20"/>
                <w:szCs w:val="20"/>
              </w:rPr>
            </w:pPr>
            <w:r w:rsidRPr="004A582B">
              <w:rPr>
                <w:sz w:val="20"/>
                <w:szCs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59205A" w14:textId="77777777" w:rsidR="004A582B" w:rsidRPr="004A582B" w:rsidRDefault="004A582B" w:rsidP="004A582B">
            <w:pPr>
              <w:spacing w:before="100"/>
              <w:rPr>
                <w:color w:val="000000"/>
                <w:sz w:val="20"/>
                <w:szCs w:val="20"/>
              </w:rPr>
            </w:pPr>
            <w:r w:rsidRPr="004A582B">
              <w:rPr>
                <w:sz w:val="20"/>
                <w:szCs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3AC8E8" w14:textId="77777777" w:rsidR="004A582B" w:rsidRPr="004A582B" w:rsidRDefault="004A582B" w:rsidP="004A582B">
            <w:pPr>
              <w:spacing w:before="100"/>
              <w:rPr>
                <w:color w:val="000000"/>
                <w:sz w:val="20"/>
                <w:szCs w:val="20"/>
              </w:rPr>
            </w:pPr>
            <w:r w:rsidRPr="004A582B">
              <w:rPr>
                <w:sz w:val="20"/>
                <w:szCs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3A2634" w14:textId="77777777" w:rsidR="004A582B" w:rsidRPr="004A582B" w:rsidRDefault="004A582B" w:rsidP="004A582B">
            <w:pPr>
              <w:spacing w:before="100"/>
              <w:jc w:val="center"/>
              <w:rPr>
                <w:color w:val="000000"/>
                <w:sz w:val="20"/>
                <w:szCs w:val="20"/>
              </w:rPr>
            </w:pPr>
            <w:r w:rsidRPr="004A582B">
              <w:rPr>
                <w:sz w:val="20"/>
                <w:szCs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D85C07" w14:textId="77777777" w:rsidR="004A582B" w:rsidRPr="004A582B" w:rsidRDefault="004A582B" w:rsidP="004A582B">
            <w:pPr>
              <w:spacing w:before="100"/>
              <w:jc w:val="center"/>
              <w:rPr>
                <w:color w:val="000000"/>
                <w:sz w:val="20"/>
                <w:szCs w:val="20"/>
              </w:rPr>
            </w:pPr>
            <w:r w:rsidRPr="004A582B">
              <w:rPr>
                <w:sz w:val="20"/>
                <w:szCs w:val="20"/>
              </w:rPr>
              <w:t>11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4F48CB" w14:textId="77777777" w:rsidR="004A582B" w:rsidRPr="004A582B" w:rsidRDefault="004A582B" w:rsidP="004A582B">
            <w:pPr>
              <w:spacing w:before="100"/>
              <w:rPr>
                <w:color w:val="000000"/>
                <w:sz w:val="20"/>
                <w:szCs w:val="20"/>
              </w:rPr>
            </w:pPr>
            <w:r w:rsidRPr="004A582B">
              <w:rPr>
                <w:sz w:val="20"/>
                <w:szCs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A85BD4" w14:textId="77777777" w:rsidR="004A582B" w:rsidRPr="004A582B" w:rsidRDefault="004A582B" w:rsidP="004A582B">
            <w:pPr>
              <w:spacing w:before="100"/>
              <w:rPr>
                <w:color w:val="000000"/>
                <w:sz w:val="20"/>
                <w:szCs w:val="20"/>
              </w:rPr>
            </w:pPr>
            <w:r w:rsidRPr="004A582B">
              <w:rPr>
                <w:sz w:val="20"/>
                <w:szCs w:val="20"/>
              </w:rPr>
              <w:t>Отчети по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D7A3D1" w14:textId="77777777" w:rsidR="004A582B" w:rsidRPr="004A582B" w:rsidRDefault="004A582B" w:rsidP="004A582B">
            <w:pPr>
              <w:spacing w:before="100"/>
              <w:rPr>
                <w:color w:val="000000"/>
                <w:sz w:val="20"/>
                <w:szCs w:val="20"/>
              </w:rPr>
            </w:pPr>
            <w:r w:rsidRPr="004A582B">
              <w:rPr>
                <w:sz w:val="20"/>
                <w:szCs w:val="20"/>
              </w:rPr>
              <w:t>Включително поддръжката на 94 базови станции ТЕТРА, които ще бъдат интегрирани в единната радиокомуникационна система/мрежа ТЕТРА</w:t>
            </w:r>
          </w:p>
        </w:tc>
      </w:tr>
      <w:tr w:rsidR="004A582B" w:rsidRPr="004A582B" w14:paraId="100DC0E5"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104F7A" w14:textId="77777777" w:rsidR="004A582B" w:rsidRPr="004A582B" w:rsidRDefault="004A582B" w:rsidP="004A582B">
            <w:pPr>
              <w:spacing w:before="100"/>
              <w:rPr>
                <w:color w:val="000000"/>
                <w:sz w:val="20"/>
                <w:szCs w:val="20"/>
              </w:rPr>
            </w:pPr>
            <w:r w:rsidRPr="004A582B">
              <w:rPr>
                <w:sz w:val="20"/>
                <w:szCs w:val="20"/>
              </w:rPr>
              <w:t>R.1.6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C5BDB5" w14:textId="77777777" w:rsidR="004A582B" w:rsidRPr="004A582B" w:rsidRDefault="004A582B" w:rsidP="004A582B">
            <w:pPr>
              <w:spacing w:before="100"/>
              <w:rPr>
                <w:color w:val="000000"/>
                <w:sz w:val="20"/>
                <w:szCs w:val="20"/>
              </w:rPr>
            </w:pPr>
            <w:r w:rsidRPr="004A582B">
              <w:rPr>
                <w:sz w:val="20"/>
                <w:szCs w:val="20"/>
              </w:rPr>
              <w:t>Брой административни единици, които наскоро са въвели или адаптирали съществуващи механизми/процедури/инструменти/насоки за обмен на информация с други държави членки/органи, служби или агенции на Съюза/трети държави/международни организации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0BA00C" w14:textId="77777777" w:rsidR="004A582B" w:rsidRPr="004A582B" w:rsidRDefault="004A582B" w:rsidP="004A582B">
            <w:pPr>
              <w:spacing w:before="100"/>
              <w:rPr>
                <w:color w:val="000000"/>
                <w:sz w:val="20"/>
                <w:szCs w:val="20"/>
              </w:rPr>
            </w:pPr>
            <w:r w:rsidRPr="004A582B">
              <w:rPr>
                <w:sz w:val="20"/>
                <w:szCs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07B749" w14:textId="77777777" w:rsidR="004A582B" w:rsidRPr="004A582B" w:rsidRDefault="004A582B" w:rsidP="004A582B">
            <w:pPr>
              <w:spacing w:before="100"/>
              <w:rPr>
                <w:color w:val="000000"/>
                <w:sz w:val="20"/>
                <w:szCs w:val="20"/>
              </w:rPr>
            </w:pPr>
            <w:r w:rsidRPr="004A582B">
              <w:rPr>
                <w:sz w:val="20"/>
                <w:szCs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0F5DEF" w14:textId="77777777" w:rsidR="004A582B" w:rsidRPr="004A582B" w:rsidRDefault="004A582B" w:rsidP="004A582B">
            <w:pPr>
              <w:spacing w:before="100"/>
              <w:rPr>
                <w:color w:val="000000"/>
                <w:sz w:val="20"/>
                <w:szCs w:val="20"/>
              </w:rPr>
            </w:pPr>
            <w:r w:rsidRPr="004A582B">
              <w:rPr>
                <w:sz w:val="20"/>
                <w:szCs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9381AD" w14:textId="77777777" w:rsidR="004A582B" w:rsidRPr="004A582B" w:rsidRDefault="004A582B" w:rsidP="004A582B">
            <w:pPr>
              <w:spacing w:before="100"/>
              <w:jc w:val="center"/>
              <w:rPr>
                <w:color w:val="000000"/>
                <w:sz w:val="20"/>
                <w:szCs w:val="20"/>
              </w:rPr>
            </w:pPr>
            <w:r w:rsidRPr="004A582B">
              <w:rPr>
                <w:sz w:val="20"/>
                <w:szCs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E29A3F" w14:textId="77777777" w:rsidR="004A582B" w:rsidRPr="004A582B" w:rsidRDefault="004A582B" w:rsidP="004A582B">
            <w:pPr>
              <w:spacing w:before="100"/>
              <w:jc w:val="center"/>
              <w:rPr>
                <w:color w:val="000000"/>
                <w:sz w:val="20"/>
                <w:szCs w:val="20"/>
              </w:rPr>
            </w:pPr>
            <w:r w:rsidRPr="004A582B">
              <w:rPr>
                <w:sz w:val="20"/>
                <w:szCs w:val="20"/>
              </w:rPr>
              <w:t>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4438E7" w14:textId="77777777" w:rsidR="004A582B" w:rsidRPr="004A582B" w:rsidRDefault="004A582B" w:rsidP="004A582B">
            <w:pPr>
              <w:spacing w:before="100"/>
              <w:rPr>
                <w:color w:val="000000"/>
                <w:sz w:val="20"/>
                <w:szCs w:val="20"/>
              </w:rPr>
            </w:pPr>
            <w:r w:rsidRPr="004A582B">
              <w:rPr>
                <w:sz w:val="20"/>
                <w:szCs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47E3D7" w14:textId="77777777" w:rsidR="004A582B" w:rsidRPr="004A582B" w:rsidRDefault="004A582B" w:rsidP="004A582B">
            <w:pPr>
              <w:spacing w:before="100"/>
              <w:rPr>
                <w:color w:val="000000"/>
                <w:sz w:val="20"/>
                <w:szCs w:val="20"/>
              </w:rPr>
            </w:pPr>
            <w:r w:rsidRPr="004A582B">
              <w:rPr>
                <w:sz w:val="20"/>
                <w:szCs w:val="20"/>
              </w:rPr>
              <w:t>Отчети за дейността на съответните институции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FC747E" w14:textId="77777777" w:rsidR="004A582B" w:rsidRPr="004A582B" w:rsidRDefault="004A582B" w:rsidP="004A582B">
            <w:pPr>
              <w:spacing w:before="100"/>
              <w:rPr>
                <w:color w:val="000000"/>
                <w:sz w:val="20"/>
                <w:szCs w:val="20"/>
              </w:rPr>
            </w:pPr>
            <w:r w:rsidRPr="004A582B">
              <w:rPr>
                <w:sz w:val="20"/>
                <w:szCs w:val="20"/>
              </w:rPr>
              <w:t>ДМОС-МВР и ДАНС</w:t>
            </w:r>
          </w:p>
        </w:tc>
      </w:tr>
      <w:tr w:rsidR="004A582B" w:rsidRPr="004A582B" w14:paraId="2CD6D2AF"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ADD0BA" w14:textId="77777777" w:rsidR="004A582B" w:rsidRPr="004A582B" w:rsidRDefault="004A582B" w:rsidP="004A582B">
            <w:pPr>
              <w:spacing w:before="100"/>
              <w:rPr>
                <w:color w:val="000000"/>
                <w:sz w:val="20"/>
                <w:szCs w:val="20"/>
              </w:rPr>
            </w:pPr>
            <w:r w:rsidRPr="004A582B">
              <w:rPr>
                <w:sz w:val="20"/>
                <w:szCs w:val="20"/>
              </w:rPr>
              <w:t>R.1.7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2D70F8" w14:textId="77777777" w:rsidR="004A582B" w:rsidRPr="004A582B" w:rsidRDefault="004A582B" w:rsidP="004A582B">
            <w:pPr>
              <w:spacing w:before="100"/>
              <w:rPr>
                <w:color w:val="000000"/>
                <w:sz w:val="20"/>
                <w:szCs w:val="20"/>
              </w:rPr>
            </w:pPr>
            <w:r w:rsidRPr="004A582B">
              <w:rPr>
                <w:sz w:val="20"/>
                <w:szCs w:val="20"/>
              </w:rPr>
              <w:t>Брой участници, които считат обучението за полезно за своята работа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53CE9B" w14:textId="77777777" w:rsidR="004A582B" w:rsidRPr="004A582B" w:rsidRDefault="004A582B" w:rsidP="004A582B">
            <w:pPr>
              <w:spacing w:before="100"/>
              <w:rPr>
                <w:color w:val="000000"/>
                <w:sz w:val="20"/>
                <w:szCs w:val="20"/>
              </w:rPr>
            </w:pPr>
            <w:r w:rsidRPr="004A582B">
              <w:rPr>
                <w:sz w:val="20"/>
                <w:szCs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29FB88" w14:textId="77777777" w:rsidR="004A582B" w:rsidRPr="004A582B" w:rsidRDefault="004A582B" w:rsidP="004A582B">
            <w:pPr>
              <w:spacing w:before="100"/>
              <w:rPr>
                <w:color w:val="000000"/>
                <w:sz w:val="20"/>
                <w:szCs w:val="20"/>
              </w:rPr>
            </w:pPr>
            <w:r w:rsidRPr="004A582B">
              <w:rPr>
                <w:sz w:val="20"/>
                <w:szCs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A36779" w14:textId="77777777" w:rsidR="004A582B" w:rsidRPr="004A582B" w:rsidRDefault="004A582B" w:rsidP="004A582B">
            <w:pPr>
              <w:spacing w:before="100"/>
              <w:rPr>
                <w:color w:val="000000"/>
                <w:sz w:val="20"/>
                <w:szCs w:val="20"/>
              </w:rPr>
            </w:pPr>
            <w:r w:rsidRPr="004A582B">
              <w:rPr>
                <w:sz w:val="20"/>
                <w:szCs w:val="20"/>
              </w:rPr>
              <w:t>дял</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C56959" w14:textId="77777777" w:rsidR="004A582B" w:rsidRPr="004A582B" w:rsidRDefault="004A582B" w:rsidP="004A582B">
            <w:pPr>
              <w:spacing w:before="100"/>
              <w:jc w:val="center"/>
              <w:rPr>
                <w:color w:val="000000"/>
                <w:sz w:val="20"/>
                <w:szCs w:val="20"/>
              </w:rPr>
            </w:pPr>
            <w:r w:rsidRPr="004A582B">
              <w:rPr>
                <w:sz w:val="20"/>
                <w:szCs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672D63" w14:textId="77777777" w:rsidR="004A582B" w:rsidRPr="004A582B" w:rsidRDefault="004A582B" w:rsidP="004A582B">
            <w:pPr>
              <w:spacing w:before="100"/>
              <w:jc w:val="center"/>
              <w:rPr>
                <w:color w:val="000000"/>
                <w:sz w:val="20"/>
                <w:szCs w:val="20"/>
              </w:rPr>
            </w:pPr>
            <w:r w:rsidRPr="004A582B">
              <w:rPr>
                <w:sz w:val="20"/>
                <w:szCs w:val="20"/>
              </w:rPr>
              <w:t>370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44EF54" w14:textId="77777777" w:rsidR="004A582B" w:rsidRPr="004A582B" w:rsidRDefault="004A582B" w:rsidP="004A582B">
            <w:pPr>
              <w:spacing w:before="100"/>
              <w:rPr>
                <w:color w:val="000000"/>
                <w:sz w:val="20"/>
                <w:szCs w:val="20"/>
              </w:rPr>
            </w:pPr>
            <w:r w:rsidRPr="004A582B">
              <w:rPr>
                <w:sz w:val="20"/>
                <w:szCs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9E447A" w14:textId="77777777" w:rsidR="004A582B" w:rsidRPr="004A582B" w:rsidRDefault="004A582B" w:rsidP="004A582B">
            <w:pPr>
              <w:spacing w:before="100"/>
              <w:rPr>
                <w:color w:val="000000"/>
                <w:sz w:val="20"/>
                <w:szCs w:val="20"/>
              </w:rPr>
            </w:pPr>
            <w:r w:rsidRPr="004A582B">
              <w:rPr>
                <w:sz w:val="20"/>
                <w:szCs w:val="20"/>
              </w:rPr>
              <w:t>Анкетни карти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B5E9CB" w14:textId="77777777" w:rsidR="004A582B" w:rsidRPr="004A582B" w:rsidRDefault="004A582B" w:rsidP="004A582B">
            <w:pPr>
              <w:spacing w:before="100"/>
              <w:rPr>
                <w:color w:val="000000"/>
                <w:sz w:val="20"/>
                <w:szCs w:val="20"/>
              </w:rPr>
            </w:pPr>
          </w:p>
        </w:tc>
      </w:tr>
      <w:tr w:rsidR="004A582B" w:rsidRPr="004A582B" w14:paraId="277E68D3"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5D576B" w14:textId="77777777" w:rsidR="004A582B" w:rsidRPr="004A582B" w:rsidRDefault="004A582B" w:rsidP="004A582B">
            <w:pPr>
              <w:spacing w:before="100"/>
              <w:rPr>
                <w:color w:val="000000"/>
                <w:sz w:val="20"/>
                <w:szCs w:val="20"/>
              </w:rPr>
            </w:pPr>
            <w:r w:rsidRPr="004A582B">
              <w:rPr>
                <w:sz w:val="20"/>
                <w:szCs w:val="20"/>
              </w:rPr>
              <w:lastRenderedPageBreak/>
              <w:t>R.1.8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EF8787" w14:textId="77777777" w:rsidR="004A582B" w:rsidRPr="004A582B" w:rsidRDefault="004A582B" w:rsidP="004A582B">
            <w:pPr>
              <w:spacing w:before="100"/>
              <w:rPr>
                <w:color w:val="000000"/>
                <w:sz w:val="20"/>
                <w:szCs w:val="20"/>
              </w:rPr>
            </w:pPr>
            <w:r w:rsidRPr="004A582B">
              <w:rPr>
                <w:sz w:val="20"/>
                <w:szCs w:val="20"/>
              </w:rPr>
              <w:t>Брой участници, които докладват три месеца след обучителната дейност, че използват уменията и компетентностите, придобити по време на обучителната дейност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2F0FD8" w14:textId="77777777" w:rsidR="004A582B" w:rsidRPr="004A582B" w:rsidRDefault="004A582B" w:rsidP="004A582B">
            <w:pPr>
              <w:spacing w:before="100"/>
              <w:rPr>
                <w:color w:val="000000"/>
                <w:sz w:val="20"/>
                <w:szCs w:val="20"/>
              </w:rPr>
            </w:pPr>
            <w:r w:rsidRPr="004A582B">
              <w:rPr>
                <w:sz w:val="20"/>
                <w:szCs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7FCE74" w14:textId="77777777" w:rsidR="004A582B" w:rsidRPr="004A582B" w:rsidRDefault="004A582B" w:rsidP="004A582B">
            <w:pPr>
              <w:spacing w:before="100"/>
              <w:rPr>
                <w:color w:val="000000"/>
                <w:sz w:val="20"/>
                <w:szCs w:val="20"/>
              </w:rPr>
            </w:pPr>
            <w:r w:rsidRPr="004A582B">
              <w:rPr>
                <w:sz w:val="20"/>
                <w:szCs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1FEAB9" w14:textId="77777777" w:rsidR="004A582B" w:rsidRPr="004A582B" w:rsidRDefault="004A582B" w:rsidP="004A582B">
            <w:pPr>
              <w:spacing w:before="100"/>
              <w:rPr>
                <w:color w:val="000000"/>
                <w:sz w:val="20"/>
                <w:szCs w:val="20"/>
              </w:rPr>
            </w:pPr>
            <w:r w:rsidRPr="004A582B">
              <w:rPr>
                <w:sz w:val="20"/>
                <w:szCs w:val="20"/>
              </w:rPr>
              <w:t>дял</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C5FA0" w14:textId="77777777" w:rsidR="004A582B" w:rsidRPr="004A582B" w:rsidRDefault="004A582B" w:rsidP="004A582B">
            <w:pPr>
              <w:spacing w:before="100"/>
              <w:jc w:val="center"/>
              <w:rPr>
                <w:color w:val="000000"/>
                <w:sz w:val="20"/>
                <w:szCs w:val="20"/>
              </w:rPr>
            </w:pPr>
            <w:r w:rsidRPr="004A582B">
              <w:rPr>
                <w:sz w:val="20"/>
                <w:szCs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6D3B3E" w14:textId="77777777" w:rsidR="004A582B" w:rsidRPr="004A582B" w:rsidRDefault="004A582B" w:rsidP="004A582B">
            <w:pPr>
              <w:spacing w:before="100"/>
              <w:jc w:val="center"/>
              <w:rPr>
                <w:color w:val="000000"/>
                <w:sz w:val="20"/>
                <w:szCs w:val="20"/>
              </w:rPr>
            </w:pPr>
            <w:r w:rsidRPr="004A582B">
              <w:rPr>
                <w:sz w:val="20"/>
                <w:szCs w:val="20"/>
              </w:rPr>
              <w:t>320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868341" w14:textId="77777777" w:rsidR="004A582B" w:rsidRPr="004A582B" w:rsidRDefault="004A582B" w:rsidP="004A582B">
            <w:pPr>
              <w:spacing w:before="100"/>
              <w:rPr>
                <w:color w:val="000000"/>
                <w:sz w:val="20"/>
                <w:szCs w:val="20"/>
              </w:rPr>
            </w:pPr>
            <w:r w:rsidRPr="004A582B">
              <w:rPr>
                <w:sz w:val="20"/>
                <w:szCs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662443" w14:textId="77777777" w:rsidR="004A582B" w:rsidRPr="004A582B" w:rsidRDefault="004A582B" w:rsidP="004A582B">
            <w:pPr>
              <w:spacing w:before="100"/>
              <w:rPr>
                <w:color w:val="000000"/>
                <w:sz w:val="20"/>
                <w:szCs w:val="20"/>
              </w:rPr>
            </w:pPr>
            <w:r w:rsidRPr="004A582B">
              <w:rPr>
                <w:sz w:val="20"/>
                <w:szCs w:val="20"/>
              </w:rPr>
              <w:t>Анкетни карти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89FB66" w14:textId="77777777" w:rsidR="004A582B" w:rsidRPr="004A582B" w:rsidRDefault="004A582B" w:rsidP="004A582B">
            <w:pPr>
              <w:spacing w:before="100"/>
              <w:rPr>
                <w:color w:val="000000"/>
                <w:sz w:val="20"/>
                <w:szCs w:val="20"/>
              </w:rPr>
            </w:pPr>
          </w:p>
        </w:tc>
      </w:tr>
    </w:tbl>
    <w:p w14:paraId="38A355CE" w14:textId="77777777" w:rsidR="00A77B3E" w:rsidRDefault="00A77B3E">
      <w:pPr>
        <w:spacing w:before="100"/>
        <w:rPr>
          <w:color w:val="000000"/>
          <w:sz w:val="20"/>
        </w:rPr>
        <w:sectPr w:rsidR="00A77B3E">
          <w:headerReference w:type="even" r:id="rId23"/>
          <w:headerReference w:type="default" r:id="rId24"/>
          <w:footerReference w:type="even" r:id="rId25"/>
          <w:footerReference w:type="default" r:id="rId26"/>
          <w:headerReference w:type="first" r:id="rId27"/>
          <w:footerReference w:type="first" r:id="rId28"/>
          <w:pgSz w:w="16838" w:h="11906" w:orient="landscape"/>
          <w:pgMar w:top="720" w:right="720" w:bottom="864" w:left="936" w:header="288" w:footer="72" w:gutter="0"/>
          <w:cols w:space="720"/>
          <w:noEndnote/>
          <w:docGrid w:linePitch="360"/>
        </w:sectPr>
      </w:pPr>
    </w:p>
    <w:p w14:paraId="6D1F85BE" w14:textId="77777777" w:rsidR="00A77B3E" w:rsidRDefault="00E62050">
      <w:pPr>
        <w:spacing w:before="100"/>
        <w:rPr>
          <w:color w:val="000000"/>
          <w:sz w:val="0"/>
        </w:rPr>
      </w:pPr>
      <w:r>
        <w:rPr>
          <w:color w:val="000000"/>
        </w:rPr>
        <w:lastRenderedPageBreak/>
        <w:t xml:space="preserve">2.1. </w:t>
      </w:r>
      <w:r w:rsidR="00D778E7" w:rsidRPr="00D778E7">
        <w:rPr>
          <w:color w:val="000000"/>
        </w:rPr>
        <w:t>Специфична цел: 1. Обмен на информация</w:t>
      </w:r>
    </w:p>
    <w:p w14:paraId="6D5AB5EB" w14:textId="77777777" w:rsidR="00A77B3E" w:rsidRDefault="00E62050">
      <w:pPr>
        <w:pStyle w:val="Heading3"/>
        <w:spacing w:before="100" w:after="0"/>
        <w:rPr>
          <w:rFonts w:ascii="Times New Roman" w:hAnsi="Times New Roman" w:cs="Times New Roman"/>
          <w:b w:val="0"/>
          <w:color w:val="000000"/>
          <w:sz w:val="24"/>
        </w:rPr>
      </w:pPr>
      <w:bookmarkStart w:id="8" w:name="_Toc129599281"/>
      <w:r>
        <w:rPr>
          <w:rFonts w:ascii="Times New Roman" w:hAnsi="Times New Roman" w:cs="Times New Roman"/>
          <w:b w:val="0"/>
          <w:color w:val="000000"/>
          <w:sz w:val="24"/>
        </w:rPr>
        <w:t xml:space="preserve">2.1.3. </w:t>
      </w:r>
      <w:r w:rsidR="00D778E7" w:rsidRPr="00D778E7">
        <w:rPr>
          <w:rFonts w:ascii="Times New Roman" w:hAnsi="Times New Roman" w:cs="Times New Roman"/>
          <w:b w:val="0"/>
          <w:color w:val="000000"/>
          <w:sz w:val="24"/>
        </w:rPr>
        <w:t>Индикативна разбивка на ресурсите по програмата (ЕС) по вид интервенция</w:t>
      </w:r>
      <w:bookmarkEnd w:id="8"/>
    </w:p>
    <w:p w14:paraId="4C01E7CA" w14:textId="77777777" w:rsidR="00D778E7" w:rsidRDefault="00D778E7" w:rsidP="00CB5C33">
      <w:pPr>
        <w:spacing w:before="100"/>
      </w:pPr>
      <w:r w:rsidRPr="00D778E7">
        <w:t xml:space="preserve">Основание: член 22, параграф 5 от РОР и член 16, параграф 12 от Регламента за ФУМИ, член 13, параграф 12 от Регламента за ФВС или член 13, параграф 18 от Регламента за ИУГВП </w:t>
      </w:r>
    </w:p>
    <w:p w14:paraId="00260E1F" w14:textId="77777777" w:rsidR="00A77B3E" w:rsidRDefault="00D778E7">
      <w:pPr>
        <w:pStyle w:val="Heading4"/>
        <w:spacing w:before="100" w:after="0"/>
        <w:rPr>
          <w:b w:val="0"/>
          <w:color w:val="000000"/>
          <w:sz w:val="24"/>
          <w:lang w:val="bg-BG"/>
        </w:rPr>
      </w:pPr>
      <w:bookmarkStart w:id="9" w:name="_Toc129599282"/>
      <w:r w:rsidRPr="00D778E7">
        <w:rPr>
          <w:b w:val="0"/>
          <w:color w:val="000000"/>
          <w:sz w:val="24"/>
          <w:lang w:val="bg-BG"/>
        </w:rPr>
        <w:t>Таблица 3: Индикативна разбивка</w:t>
      </w:r>
      <w:bookmarkEnd w:id="9"/>
    </w:p>
    <w:p w14:paraId="4EF877A7" w14:textId="77777777" w:rsidR="00094A5D" w:rsidRDefault="00094A5D" w:rsidP="00094A5D">
      <w:pPr>
        <w:rPr>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1259"/>
        <w:gridCol w:w="2340"/>
      </w:tblGrid>
      <w:tr w:rsidR="00094A5D" w14:paraId="456849EB" w14:textId="77777777" w:rsidTr="00235B8B">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132AF2" w14:textId="77777777" w:rsidR="00094A5D" w:rsidRDefault="00094A5D" w:rsidP="00235B8B">
            <w:pPr>
              <w:spacing w:before="100"/>
              <w:rPr>
                <w:color w:val="000000"/>
                <w:sz w:val="20"/>
              </w:rPr>
            </w:pPr>
            <w:r w:rsidRPr="009B0331">
              <w:rPr>
                <w:color w:val="000000"/>
                <w:sz w:val="20"/>
              </w:rPr>
              <w:t>Вид интервенция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634FA5" w14:textId="77777777" w:rsidR="00094A5D" w:rsidRDefault="00094A5D" w:rsidP="00235B8B">
            <w:pPr>
              <w:spacing w:before="100"/>
              <w:rPr>
                <w:color w:val="000000"/>
                <w:sz w:val="20"/>
              </w:rPr>
            </w:pPr>
            <w:r>
              <w:rPr>
                <w:color w:val="000000"/>
                <w:sz w:val="20"/>
              </w:rPr>
              <w:t>Код</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F33C98" w14:textId="77777777" w:rsidR="00094A5D" w:rsidRDefault="00094A5D" w:rsidP="00235B8B">
            <w:pPr>
              <w:spacing w:before="100"/>
              <w:jc w:val="right"/>
              <w:rPr>
                <w:color w:val="000000"/>
                <w:sz w:val="20"/>
              </w:rPr>
            </w:pPr>
            <w:r w:rsidRPr="009B0331">
              <w:rPr>
                <w:color w:val="000000"/>
                <w:sz w:val="20"/>
              </w:rPr>
              <w:t>Индикативна сума (в евро)</w:t>
            </w:r>
          </w:p>
        </w:tc>
      </w:tr>
      <w:tr w:rsidR="00094A5D" w14:paraId="1AF95CC6"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E886C6" w14:textId="77777777" w:rsidR="00094A5D" w:rsidRDefault="00094A5D"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741EF" w14:textId="77777777" w:rsidR="00094A5D" w:rsidRDefault="00094A5D" w:rsidP="00235B8B">
            <w:pPr>
              <w:spacing w:before="100"/>
              <w:rPr>
                <w:color w:val="000000"/>
                <w:sz w:val="20"/>
              </w:rPr>
            </w:pPr>
            <w:r>
              <w:rPr>
                <w:color w:val="000000"/>
                <w:sz w:val="20"/>
              </w:rPr>
              <w:t>001.</w:t>
            </w:r>
            <w:r>
              <w:t xml:space="preserve"> </w:t>
            </w:r>
            <w:r w:rsidRPr="00C4274F">
              <w:rPr>
                <w:color w:val="000000"/>
                <w:sz w:val="20"/>
              </w:rPr>
              <w:t>Системи на ИКТ, оперативна съвместимост, качество на данните (без оборудване)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F925CB" w14:textId="70CC35A6" w:rsidR="00094A5D" w:rsidRDefault="00020F6E" w:rsidP="00235B8B">
            <w:pPr>
              <w:spacing w:before="100"/>
              <w:jc w:val="right"/>
              <w:rPr>
                <w:color w:val="000000"/>
                <w:sz w:val="20"/>
              </w:rPr>
            </w:pPr>
            <w:r>
              <w:rPr>
                <w:color w:val="000000"/>
                <w:sz w:val="20"/>
                <w:lang w:val="bg-BG"/>
              </w:rPr>
              <w:t>12 656 209,55</w:t>
            </w:r>
          </w:p>
          <w:p w14:paraId="3B2BD0E3" w14:textId="77777777" w:rsidR="00094A5D" w:rsidRDefault="00094A5D" w:rsidP="00235B8B">
            <w:pPr>
              <w:spacing w:before="100"/>
              <w:jc w:val="right"/>
              <w:rPr>
                <w:color w:val="000000"/>
                <w:sz w:val="20"/>
              </w:rPr>
            </w:pPr>
          </w:p>
        </w:tc>
      </w:tr>
      <w:tr w:rsidR="00094A5D" w14:paraId="3316C1E8"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68D645" w14:textId="77777777" w:rsidR="00094A5D" w:rsidRDefault="00094A5D"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F0F3B4" w14:textId="77777777" w:rsidR="00094A5D" w:rsidRDefault="00094A5D" w:rsidP="00235B8B">
            <w:pPr>
              <w:spacing w:before="100"/>
              <w:rPr>
                <w:color w:val="000000"/>
                <w:sz w:val="20"/>
              </w:rPr>
            </w:pPr>
            <w:r>
              <w:rPr>
                <w:color w:val="000000"/>
                <w:sz w:val="20"/>
              </w:rPr>
              <w:t>002.</w:t>
            </w:r>
            <w:r>
              <w:t xml:space="preserve"> </w:t>
            </w:r>
            <w:r w:rsidRPr="00C4274F">
              <w:rPr>
                <w:color w:val="000000"/>
                <w:sz w:val="20"/>
              </w:rPr>
              <w:t>Мрежи, центрове за високи постижения, структури за сътрудничество, съвместни действия и операции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C203C0" w14:textId="77777777" w:rsidR="00094A5D" w:rsidRDefault="00094A5D" w:rsidP="00235B8B">
            <w:pPr>
              <w:spacing w:before="100"/>
              <w:jc w:val="right"/>
              <w:rPr>
                <w:color w:val="000000"/>
                <w:sz w:val="20"/>
              </w:rPr>
            </w:pPr>
            <w:r>
              <w:rPr>
                <w:color w:val="000000"/>
                <w:sz w:val="20"/>
              </w:rPr>
              <w:t>22 500,00</w:t>
            </w:r>
          </w:p>
        </w:tc>
      </w:tr>
      <w:tr w:rsidR="00094A5D" w14:paraId="289529C5"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199D01" w14:textId="77777777" w:rsidR="00094A5D" w:rsidRDefault="00094A5D"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A8D9EB" w14:textId="77777777" w:rsidR="00094A5D" w:rsidRDefault="00094A5D" w:rsidP="00235B8B">
            <w:pPr>
              <w:spacing w:before="100"/>
              <w:rPr>
                <w:color w:val="000000"/>
                <w:sz w:val="20"/>
              </w:rPr>
            </w:pPr>
            <w:r>
              <w:rPr>
                <w:color w:val="000000"/>
                <w:sz w:val="20"/>
              </w:rPr>
              <w:t>003.</w:t>
            </w:r>
            <w:r>
              <w:t xml:space="preserve"> </w:t>
            </w:r>
            <w:r w:rsidRPr="00C4274F">
              <w:rPr>
                <w:color w:val="000000"/>
                <w:sz w:val="20"/>
              </w:rPr>
              <w:t>Съвместни екипи за разследване (СЕР) или други съвместни операции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BD132B" w14:textId="77777777" w:rsidR="00094A5D" w:rsidRDefault="00094A5D" w:rsidP="00235B8B">
            <w:pPr>
              <w:spacing w:before="100"/>
              <w:jc w:val="right"/>
              <w:rPr>
                <w:color w:val="000000"/>
                <w:sz w:val="20"/>
              </w:rPr>
            </w:pPr>
            <w:r>
              <w:rPr>
                <w:color w:val="000000"/>
                <w:sz w:val="20"/>
              </w:rPr>
              <w:t>0,00</w:t>
            </w:r>
          </w:p>
        </w:tc>
      </w:tr>
      <w:tr w:rsidR="00094A5D" w14:paraId="62514419"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70398A" w14:textId="77777777" w:rsidR="00094A5D" w:rsidRDefault="00094A5D"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5C4E34" w14:textId="77777777" w:rsidR="00094A5D" w:rsidRDefault="00094A5D" w:rsidP="00235B8B">
            <w:pPr>
              <w:spacing w:before="100"/>
              <w:rPr>
                <w:color w:val="000000"/>
                <w:sz w:val="20"/>
              </w:rPr>
            </w:pPr>
            <w:r>
              <w:rPr>
                <w:color w:val="000000"/>
                <w:sz w:val="20"/>
              </w:rPr>
              <w:t xml:space="preserve">004. </w:t>
            </w:r>
            <w:r w:rsidRPr="00C4274F">
              <w:rPr>
                <w:color w:val="000000"/>
                <w:sz w:val="20"/>
              </w:rPr>
              <w:t>Командироване или изпращане на експерти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311075" w14:textId="77777777" w:rsidR="00094A5D" w:rsidRDefault="00094A5D" w:rsidP="00235B8B">
            <w:pPr>
              <w:spacing w:before="100"/>
              <w:jc w:val="right"/>
              <w:rPr>
                <w:color w:val="000000"/>
                <w:sz w:val="20"/>
              </w:rPr>
            </w:pPr>
            <w:r>
              <w:rPr>
                <w:color w:val="000000"/>
                <w:sz w:val="20"/>
              </w:rPr>
              <w:t>0,00</w:t>
            </w:r>
          </w:p>
        </w:tc>
      </w:tr>
      <w:tr w:rsidR="00094A5D" w14:paraId="69C732FE"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AE6CFD" w14:textId="77777777" w:rsidR="00094A5D" w:rsidRPr="009E16C5" w:rsidRDefault="00094A5D"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98140E" w14:textId="77777777" w:rsidR="00094A5D" w:rsidRPr="009E16C5" w:rsidRDefault="00094A5D" w:rsidP="00235B8B">
            <w:pPr>
              <w:spacing w:before="100"/>
              <w:rPr>
                <w:color w:val="000000"/>
                <w:sz w:val="20"/>
              </w:rPr>
            </w:pPr>
            <w:r w:rsidRPr="009E16C5">
              <w:rPr>
                <w:color w:val="000000"/>
                <w:sz w:val="20"/>
              </w:rPr>
              <w:t>005.</w:t>
            </w:r>
            <w:r>
              <w:t xml:space="preserve"> </w:t>
            </w:r>
            <w:r w:rsidRPr="00C4274F">
              <w:rPr>
                <w:color w:val="000000"/>
                <w:sz w:val="20"/>
              </w:rPr>
              <w:t>Обучение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463760" w14:textId="3CB6A5D6" w:rsidR="00094A5D" w:rsidRPr="009E16C5" w:rsidRDefault="00020F6E" w:rsidP="00235B8B">
            <w:pPr>
              <w:spacing w:before="100"/>
              <w:jc w:val="right"/>
              <w:rPr>
                <w:color w:val="000000"/>
                <w:sz w:val="20"/>
              </w:rPr>
            </w:pPr>
            <w:r>
              <w:rPr>
                <w:color w:val="000000"/>
                <w:sz w:val="20"/>
                <w:lang w:val="bg-BG"/>
              </w:rPr>
              <w:t>96 600,00</w:t>
            </w:r>
          </w:p>
        </w:tc>
      </w:tr>
      <w:tr w:rsidR="00094A5D" w14:paraId="7C2E6BED"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FC214D" w14:textId="77777777" w:rsidR="00094A5D" w:rsidRDefault="00094A5D"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965771" w14:textId="77777777" w:rsidR="00094A5D" w:rsidRDefault="00094A5D" w:rsidP="00235B8B">
            <w:pPr>
              <w:spacing w:before="100"/>
              <w:rPr>
                <w:color w:val="000000"/>
                <w:sz w:val="20"/>
              </w:rPr>
            </w:pPr>
            <w:r>
              <w:rPr>
                <w:color w:val="000000"/>
                <w:sz w:val="20"/>
              </w:rPr>
              <w:t xml:space="preserve">006. </w:t>
            </w:r>
            <w:r w:rsidRPr="00C4274F">
              <w:rPr>
                <w:color w:val="000000"/>
                <w:sz w:val="20"/>
              </w:rPr>
              <w:t>Обмен на добри практики, семинари, конференции, събития, кампании за повишаване на осведомеността, комуникационни дейности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A58D67" w14:textId="4604D5B0" w:rsidR="00094A5D" w:rsidRDefault="00020F6E" w:rsidP="00235B8B">
            <w:pPr>
              <w:spacing w:before="100"/>
              <w:jc w:val="right"/>
              <w:rPr>
                <w:color w:val="000000"/>
                <w:sz w:val="20"/>
              </w:rPr>
            </w:pPr>
            <w:r>
              <w:rPr>
                <w:color w:val="000000"/>
                <w:sz w:val="20"/>
                <w:lang w:val="bg-BG"/>
              </w:rPr>
              <w:t>135 657,38</w:t>
            </w:r>
          </w:p>
        </w:tc>
      </w:tr>
      <w:tr w:rsidR="00094A5D" w14:paraId="1ABA809F"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EF5631" w14:textId="77777777" w:rsidR="00094A5D" w:rsidRDefault="00094A5D"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CA4947" w14:textId="77777777" w:rsidR="00094A5D" w:rsidRDefault="00094A5D" w:rsidP="00235B8B">
            <w:pPr>
              <w:spacing w:before="100"/>
              <w:rPr>
                <w:color w:val="000000"/>
                <w:sz w:val="20"/>
              </w:rPr>
            </w:pPr>
            <w:r>
              <w:rPr>
                <w:color w:val="000000"/>
                <w:sz w:val="20"/>
              </w:rPr>
              <w:t>007.</w:t>
            </w:r>
            <w:r>
              <w:t xml:space="preserve"> </w:t>
            </w:r>
            <w:r w:rsidRPr="00C4274F">
              <w:rPr>
                <w:color w:val="000000"/>
                <w:sz w:val="20"/>
              </w:rPr>
              <w:t>Изследвания, пилотни проекти, оценки на риска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69FA77" w14:textId="77777777" w:rsidR="00094A5D" w:rsidRDefault="00094A5D" w:rsidP="00235B8B">
            <w:pPr>
              <w:spacing w:before="100"/>
              <w:jc w:val="right"/>
              <w:rPr>
                <w:color w:val="000000"/>
                <w:sz w:val="20"/>
              </w:rPr>
            </w:pPr>
            <w:r>
              <w:rPr>
                <w:color w:val="000000"/>
                <w:sz w:val="20"/>
              </w:rPr>
              <w:t>0,00</w:t>
            </w:r>
          </w:p>
        </w:tc>
      </w:tr>
      <w:tr w:rsidR="00094A5D" w14:paraId="3003C00D"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E521FC" w14:textId="77777777" w:rsidR="00094A5D" w:rsidRDefault="00094A5D"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55B2AA" w14:textId="77777777" w:rsidR="00094A5D" w:rsidRDefault="00094A5D" w:rsidP="00235B8B">
            <w:pPr>
              <w:spacing w:before="100"/>
              <w:rPr>
                <w:color w:val="000000"/>
                <w:sz w:val="20"/>
              </w:rPr>
            </w:pPr>
            <w:r>
              <w:rPr>
                <w:color w:val="000000"/>
                <w:sz w:val="20"/>
              </w:rPr>
              <w:t xml:space="preserve">008. </w:t>
            </w:r>
            <w:r w:rsidRPr="00C4274F">
              <w:rPr>
                <w:color w:val="000000"/>
                <w:sz w:val="20"/>
              </w:rPr>
              <w:t>Оборудване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B3EFD0" w14:textId="42869DB3" w:rsidR="00094A5D" w:rsidRDefault="00020F6E" w:rsidP="00235B8B">
            <w:pPr>
              <w:spacing w:before="100"/>
              <w:jc w:val="right"/>
              <w:rPr>
                <w:color w:val="000000"/>
                <w:sz w:val="20"/>
              </w:rPr>
            </w:pPr>
            <w:r>
              <w:rPr>
                <w:color w:val="000000"/>
                <w:sz w:val="20"/>
                <w:lang w:val="bg-BG"/>
              </w:rPr>
              <w:t>4 930 660,12</w:t>
            </w:r>
          </w:p>
        </w:tc>
      </w:tr>
      <w:tr w:rsidR="00094A5D" w14:paraId="5DB800DD"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EB8320" w14:textId="77777777" w:rsidR="00094A5D" w:rsidRDefault="00094A5D"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121247" w14:textId="77777777" w:rsidR="00094A5D" w:rsidRDefault="00094A5D" w:rsidP="00235B8B">
            <w:pPr>
              <w:spacing w:before="100"/>
              <w:rPr>
                <w:color w:val="000000"/>
                <w:sz w:val="20"/>
              </w:rPr>
            </w:pPr>
            <w:r>
              <w:rPr>
                <w:color w:val="000000"/>
                <w:sz w:val="20"/>
              </w:rPr>
              <w:t>009.</w:t>
            </w:r>
            <w:r>
              <w:t xml:space="preserve"> </w:t>
            </w:r>
            <w:r w:rsidRPr="00C4274F">
              <w:rPr>
                <w:color w:val="000000"/>
                <w:sz w:val="20"/>
              </w:rPr>
              <w:t>Транспортни средства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541BB6" w14:textId="77777777" w:rsidR="00094A5D" w:rsidRDefault="00094A5D" w:rsidP="00235B8B">
            <w:pPr>
              <w:spacing w:before="100"/>
              <w:jc w:val="right"/>
              <w:rPr>
                <w:color w:val="000000"/>
                <w:sz w:val="20"/>
              </w:rPr>
            </w:pPr>
            <w:r>
              <w:rPr>
                <w:color w:val="000000"/>
                <w:sz w:val="20"/>
              </w:rPr>
              <w:t>0,00</w:t>
            </w:r>
          </w:p>
        </w:tc>
      </w:tr>
      <w:tr w:rsidR="00094A5D" w14:paraId="25EC08E9"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05FFC4" w14:textId="77777777" w:rsidR="00094A5D" w:rsidRDefault="00094A5D"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31E81B" w14:textId="77777777" w:rsidR="00094A5D" w:rsidRDefault="00094A5D" w:rsidP="00235B8B">
            <w:pPr>
              <w:spacing w:before="100"/>
              <w:rPr>
                <w:color w:val="000000"/>
                <w:sz w:val="20"/>
              </w:rPr>
            </w:pPr>
            <w:r>
              <w:rPr>
                <w:color w:val="000000"/>
                <w:sz w:val="20"/>
              </w:rPr>
              <w:t>010.</w:t>
            </w:r>
            <w:r>
              <w:t xml:space="preserve"> </w:t>
            </w:r>
            <w:r w:rsidRPr="00C4274F">
              <w:rPr>
                <w:color w:val="000000"/>
                <w:sz w:val="20"/>
              </w:rPr>
              <w:t>Сгради, съоръжения</w:t>
            </w:r>
            <w: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A22ED8" w14:textId="77777777" w:rsidR="00094A5D" w:rsidRDefault="00094A5D" w:rsidP="00235B8B">
            <w:pPr>
              <w:spacing w:before="100"/>
              <w:jc w:val="right"/>
              <w:rPr>
                <w:color w:val="000000"/>
                <w:sz w:val="20"/>
              </w:rPr>
            </w:pPr>
            <w:r>
              <w:rPr>
                <w:color w:val="000000"/>
                <w:sz w:val="20"/>
              </w:rPr>
              <w:t>0,00</w:t>
            </w:r>
          </w:p>
        </w:tc>
      </w:tr>
      <w:tr w:rsidR="00094A5D" w14:paraId="0D3E4E31"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1E9075" w14:textId="77777777" w:rsidR="00094A5D" w:rsidRPr="00A177BA" w:rsidRDefault="00094A5D"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98D317" w14:textId="77777777" w:rsidR="00094A5D" w:rsidRDefault="00094A5D" w:rsidP="00235B8B">
            <w:pPr>
              <w:spacing w:before="100"/>
              <w:rPr>
                <w:color w:val="000000"/>
                <w:sz w:val="20"/>
              </w:rPr>
            </w:pPr>
            <w:r>
              <w:rPr>
                <w:color w:val="000000"/>
                <w:sz w:val="20"/>
              </w:rPr>
              <w:t>0.11.</w:t>
            </w:r>
            <w:r>
              <w:t xml:space="preserve"> </w:t>
            </w:r>
            <w:r>
              <w:rPr>
                <w:color w:val="000000"/>
                <w:sz w:val="20"/>
              </w:rPr>
              <w:t>Внед</w:t>
            </w:r>
            <w:r w:rsidRPr="00C4274F">
              <w:rPr>
                <w:color w:val="000000"/>
                <w:sz w:val="20"/>
              </w:rPr>
              <w:t>ряване или друга форма на последващи действия в резултат на научни проекти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E6D321" w14:textId="77777777" w:rsidR="00094A5D" w:rsidRDefault="00094A5D" w:rsidP="00235B8B">
            <w:pPr>
              <w:spacing w:before="100"/>
              <w:jc w:val="right"/>
              <w:rPr>
                <w:color w:val="000000"/>
                <w:sz w:val="20"/>
              </w:rPr>
            </w:pPr>
            <w:r>
              <w:rPr>
                <w:color w:val="000000"/>
                <w:sz w:val="20"/>
              </w:rPr>
              <w:t>0,00</w:t>
            </w:r>
          </w:p>
        </w:tc>
      </w:tr>
    </w:tbl>
    <w:p w14:paraId="2A4A5FEE" w14:textId="77777777" w:rsidR="00094A5D" w:rsidRPr="00094A5D" w:rsidRDefault="00094A5D" w:rsidP="00094A5D">
      <w:pPr>
        <w:rPr>
          <w:lang w:val="bg-BG"/>
        </w:rPr>
      </w:pPr>
    </w:p>
    <w:p w14:paraId="024EF4CC" w14:textId="77777777" w:rsidR="00A77B3E" w:rsidRDefault="00A77B3E">
      <w:pPr>
        <w:spacing w:before="100"/>
        <w:rPr>
          <w:color w:val="000000"/>
          <w:sz w:val="0"/>
        </w:rPr>
      </w:pPr>
    </w:p>
    <w:p w14:paraId="2A11E697"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0BC7F658" w14:textId="77777777" w:rsidR="00A77B3E" w:rsidRDefault="00E62050">
      <w:pPr>
        <w:pStyle w:val="Heading2"/>
        <w:spacing w:before="100" w:after="0"/>
        <w:rPr>
          <w:rFonts w:ascii="Times New Roman" w:hAnsi="Times New Roman" w:cs="Times New Roman"/>
          <w:b w:val="0"/>
          <w:i w:val="0"/>
          <w:color w:val="000000"/>
          <w:sz w:val="24"/>
        </w:rPr>
      </w:pPr>
      <w:bookmarkStart w:id="10" w:name="_Toc129599283"/>
      <w:r>
        <w:rPr>
          <w:rFonts w:ascii="Times New Roman" w:hAnsi="Times New Roman" w:cs="Times New Roman"/>
          <w:b w:val="0"/>
          <w:i w:val="0"/>
          <w:color w:val="000000"/>
          <w:sz w:val="24"/>
        </w:rPr>
        <w:lastRenderedPageBreak/>
        <w:t xml:space="preserve">2.1. </w:t>
      </w:r>
      <w:r w:rsidR="005510D7" w:rsidRPr="005510D7">
        <w:rPr>
          <w:rFonts w:ascii="Times New Roman" w:hAnsi="Times New Roman" w:cs="Times New Roman"/>
          <w:b w:val="0"/>
          <w:i w:val="0"/>
          <w:color w:val="000000"/>
          <w:sz w:val="24"/>
        </w:rPr>
        <w:t>Специфична цел 2: Трансгранично сътрудничество</w:t>
      </w:r>
      <w:bookmarkEnd w:id="10"/>
    </w:p>
    <w:p w14:paraId="11423D07" w14:textId="77777777" w:rsidR="00A77B3E" w:rsidRDefault="00A77B3E">
      <w:pPr>
        <w:spacing w:before="100"/>
        <w:rPr>
          <w:color w:val="000000"/>
          <w:sz w:val="0"/>
        </w:rPr>
      </w:pPr>
    </w:p>
    <w:p w14:paraId="352BEBB8" w14:textId="77777777" w:rsidR="00A77B3E" w:rsidRDefault="00E62050">
      <w:pPr>
        <w:pStyle w:val="Heading3"/>
        <w:spacing w:before="100" w:after="0"/>
        <w:rPr>
          <w:rFonts w:ascii="Times New Roman" w:hAnsi="Times New Roman" w:cs="Times New Roman"/>
          <w:b w:val="0"/>
          <w:color w:val="000000"/>
          <w:sz w:val="24"/>
        </w:rPr>
      </w:pPr>
      <w:bookmarkStart w:id="11" w:name="_Toc129599284"/>
      <w:r>
        <w:rPr>
          <w:rFonts w:ascii="Times New Roman" w:hAnsi="Times New Roman" w:cs="Times New Roman"/>
          <w:b w:val="0"/>
          <w:color w:val="000000"/>
          <w:sz w:val="24"/>
        </w:rPr>
        <w:t xml:space="preserve">2.1.1. </w:t>
      </w:r>
      <w:r w:rsidR="005510D7" w:rsidRPr="005510D7">
        <w:rPr>
          <w:rFonts w:ascii="Times New Roman" w:hAnsi="Times New Roman" w:cs="Times New Roman"/>
          <w:b w:val="0"/>
          <w:color w:val="000000"/>
          <w:sz w:val="24"/>
        </w:rPr>
        <w:t>Описание на специфичната цел</w:t>
      </w:r>
      <w:bookmarkEnd w:id="11"/>
    </w:p>
    <w:p w14:paraId="70FEB1D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2F6D49" w:rsidRPr="00805365" w14:paraId="4225C5D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F916DC" w14:textId="77777777" w:rsidR="00A77B3E" w:rsidRPr="005510D7" w:rsidRDefault="00A77B3E">
            <w:pPr>
              <w:spacing w:before="100"/>
              <w:rPr>
                <w:color w:val="000000"/>
              </w:rPr>
            </w:pPr>
          </w:p>
          <w:p w14:paraId="6FEEF812" w14:textId="77777777" w:rsidR="005510D7" w:rsidRPr="005510D7" w:rsidRDefault="005510D7" w:rsidP="005510D7">
            <w:pPr>
              <w:spacing w:before="100"/>
              <w:jc w:val="both"/>
              <w:rPr>
                <w:iCs/>
                <w:color w:val="000000"/>
                <w:lang w:val="bg-BG"/>
              </w:rPr>
            </w:pPr>
            <w:r w:rsidRPr="005510D7">
              <w:rPr>
                <w:iCs/>
                <w:color w:val="000000"/>
                <w:lang w:val="bg-BG"/>
              </w:rPr>
              <w:t>Трансграничната престъпност се характеризира с висока степен на организираност и много добро финансово и техническо обезпечаване от страна на извършителите. Участието на граждани от различни националности, попадащи в рамките на различни законодателства, прави изключително трудно разследването и разкриването на такива престъпления. Главна дирекция „Борба с организираната престъпност“-МВР (ГДБОП-МВР) участва в международни дейности, свързани с борбата срещу тежката и организираната престъпност: международни споразумения за полицейско сътрудничество, международни разследвания и ad hoc операции в съответствие с оперативната необходимост и др. Един от най-широко използваните модели за ефективна борба с трансграничната организирана престъпност е създаването и / или участието в съвместни екипи за разследване (СЕР).</w:t>
            </w:r>
          </w:p>
          <w:p w14:paraId="3DAFB803" w14:textId="77777777" w:rsidR="005510D7" w:rsidRPr="005510D7" w:rsidRDefault="005510D7" w:rsidP="005510D7">
            <w:pPr>
              <w:spacing w:before="100"/>
              <w:jc w:val="both"/>
              <w:rPr>
                <w:iCs/>
                <w:color w:val="000000"/>
                <w:lang w:val="bg-BG"/>
              </w:rPr>
            </w:pPr>
            <w:r w:rsidRPr="005510D7">
              <w:rPr>
                <w:iCs/>
                <w:color w:val="000000"/>
                <w:lang w:val="bg-BG"/>
              </w:rPr>
              <w:t>През 2018 г. бяха проведени 56 съвместни операции с чуждестранни партньори - 22 международни и 34 операции, базирани на паралелни разследвания, сигнали, обмен на информация и др. и е установена дейността на 12 организирани престъпни групи (ОПГ). Осъществено е участие в 11 СЕР. Беше предоставена информация по 1624 запитвания от Интерпол, Европол, партньори от други служби и др. (5,5% повече в сравнение с 2017 г.). През 2019 г. са проведени 231 специализирани полицейски операции, 59 от които с чуждестранни партньорски служби. В хода на операциите са иззети значителни количества наркотици, културно-исторически ценности, оръжия, пари, контрабандни стоки, фалшиви официални документи и пари и др. Пресечени са 6 трансгранични канала за трафик на наркотици, 7 за контрабанда и 3 – за културно-исторически ценности. Беше неутрализирана организирана престъпна група, която извършва престъпления, свързани с финансирането на терористични организации. Идентифицирани са два трансгранични канала за трафик на оръжие. Българските правоприлагащи органи участваха в 6 СЕР, 5 от които за трафик на хора с Норвегия, Великобритания, Швейцария, Швеция и Франция.</w:t>
            </w:r>
          </w:p>
          <w:p w14:paraId="19330D1B" w14:textId="77777777" w:rsidR="005510D7" w:rsidRPr="005510D7" w:rsidRDefault="005510D7" w:rsidP="005510D7">
            <w:pPr>
              <w:spacing w:before="100"/>
              <w:jc w:val="both"/>
              <w:rPr>
                <w:iCs/>
                <w:color w:val="000000"/>
                <w:lang w:val="bg-BG"/>
              </w:rPr>
            </w:pPr>
            <w:r w:rsidRPr="005510D7">
              <w:rPr>
                <w:iCs/>
                <w:color w:val="000000"/>
                <w:lang w:val="bg-BG"/>
              </w:rPr>
              <w:t xml:space="preserve">България се счита за транзитна страна за незаконни наркотици по Балканския маршрут, по който около 80% от хероина се пренася в Западна и Централна Европа. </w:t>
            </w:r>
          </w:p>
          <w:p w14:paraId="568A7942" w14:textId="77777777" w:rsidR="005510D7" w:rsidRPr="005510D7" w:rsidRDefault="005510D7" w:rsidP="005510D7">
            <w:pPr>
              <w:spacing w:before="100"/>
              <w:jc w:val="both"/>
              <w:rPr>
                <w:iCs/>
                <w:color w:val="000000"/>
                <w:lang w:val="bg-BG"/>
              </w:rPr>
            </w:pPr>
            <w:r w:rsidRPr="005510D7">
              <w:rPr>
                <w:iCs/>
                <w:color w:val="000000"/>
                <w:lang w:val="bg-BG"/>
              </w:rPr>
              <w:t>ГДБОП осъществява сътрудничество и ще продължи съвместната дейност с държавите, участващи в предотвратяването на трафика на наркотици, включително по линия на EMPACT. Главната дирекция е ръководител на действието „Хероин и оцетен анхидрид по Балканския маршрут“ в рамките на приоритета „Канабис, кокаин и хероин“.</w:t>
            </w:r>
          </w:p>
          <w:p w14:paraId="195AB883" w14:textId="77777777" w:rsidR="005510D7" w:rsidRPr="005510D7" w:rsidRDefault="005510D7" w:rsidP="005510D7">
            <w:pPr>
              <w:spacing w:before="100"/>
              <w:jc w:val="both"/>
              <w:rPr>
                <w:iCs/>
                <w:color w:val="000000"/>
                <w:lang w:val="bg-BG"/>
              </w:rPr>
            </w:pPr>
            <w:r w:rsidRPr="005510D7">
              <w:rPr>
                <w:iCs/>
                <w:color w:val="000000"/>
                <w:lang w:val="bg-BG"/>
              </w:rPr>
              <w:t>ГДБОП обменя информация с трети държави (съседни държави и техни съседи като Република Албания, Република Турция, Република Северна Македония, Република Косово, Черна гора и т.н.) в зависимост от оперативната обстановка. ГДБОП си сътрудничи с трети държави в рамките на оперативните планове за действие (ОПД) на EMPACT, в които България участва или подкрепя.</w:t>
            </w:r>
          </w:p>
          <w:p w14:paraId="486543C5" w14:textId="77777777" w:rsidR="005510D7" w:rsidRPr="005510D7" w:rsidRDefault="005510D7" w:rsidP="005510D7">
            <w:pPr>
              <w:spacing w:before="100"/>
              <w:jc w:val="both"/>
              <w:rPr>
                <w:iCs/>
                <w:color w:val="000000"/>
                <w:lang w:val="bg-BG"/>
              </w:rPr>
            </w:pPr>
            <w:r w:rsidRPr="005510D7">
              <w:rPr>
                <w:iCs/>
                <w:color w:val="000000"/>
                <w:lang w:val="bg-BG"/>
              </w:rPr>
              <w:t>Със Закона за киберсигурността отделът за киберпрестъпления на ГДБОП–МВР е определен като специализиран център за киберпрестъпления на национално ниво. Специализираният отдел активно си сътрудничи с Европол (Европейски център по киберпрестъпност (EC3). Служителите на отдела участват в работните групи на ЕС по киберпрестъпността (EU Union Cybercrime Task Force) и в изготвянето на годишни планове за прилагане на политиките в рамките на ЕС. От 2010 г. служители на отдела участват в Политически цикъл на ЕС в приоритетна област „Киберпрестъпност” (EMPACT).</w:t>
            </w:r>
          </w:p>
          <w:p w14:paraId="6FE5AFA9" w14:textId="77777777" w:rsidR="005510D7" w:rsidRPr="005510D7" w:rsidRDefault="005510D7" w:rsidP="005510D7">
            <w:pPr>
              <w:spacing w:before="100"/>
              <w:jc w:val="both"/>
              <w:rPr>
                <w:iCs/>
                <w:color w:val="000000"/>
                <w:lang w:val="bg-BG"/>
              </w:rPr>
            </w:pPr>
            <w:r w:rsidRPr="005510D7">
              <w:rPr>
                <w:iCs/>
                <w:color w:val="000000"/>
                <w:lang w:val="bg-BG"/>
              </w:rPr>
              <w:t xml:space="preserve">България планира да вземе участие във всички приоритети към </w:t>
            </w:r>
            <w:r w:rsidRPr="005510D7">
              <w:rPr>
                <w:iCs/>
                <w:color w:val="000000"/>
              </w:rPr>
              <w:t>EMPACT</w:t>
            </w:r>
            <w:r w:rsidRPr="005510D7">
              <w:rPr>
                <w:iCs/>
                <w:color w:val="000000"/>
                <w:lang w:val="bg-BG"/>
              </w:rPr>
              <w:t xml:space="preserve"> 2022+. За първи път България, чрез ГДБОП, е ръководител на един от приоритетите в борбата с тежката и организирана престъпност на ЕС, а именно „Престъпления срещу интелектуалната собственост, фалшифициране на стоки и пари“.</w:t>
            </w:r>
          </w:p>
          <w:p w14:paraId="5990D117" w14:textId="77777777" w:rsidR="005510D7" w:rsidRPr="005510D7" w:rsidRDefault="005510D7" w:rsidP="005510D7">
            <w:pPr>
              <w:spacing w:before="100"/>
              <w:jc w:val="both"/>
              <w:rPr>
                <w:iCs/>
                <w:color w:val="000000"/>
                <w:lang w:val="bg-BG"/>
              </w:rPr>
            </w:pPr>
            <w:r w:rsidRPr="005510D7">
              <w:rPr>
                <w:iCs/>
                <w:color w:val="000000"/>
                <w:lang w:val="bg-BG"/>
              </w:rPr>
              <w:t xml:space="preserve">Транснационалният характер на киберпрестъпността изисква участие на различни държави в съвместни разследвания. Забавянето от страна на една държава би довело до забавяне на </w:t>
            </w:r>
            <w:r w:rsidRPr="005510D7">
              <w:rPr>
                <w:iCs/>
                <w:color w:val="000000"/>
                <w:lang w:val="bg-BG"/>
              </w:rPr>
              <w:lastRenderedPageBreak/>
              <w:t>цялостното разследване на извършеното компютърно престъпление, което предвид бързо променящия се дигитален свят, може да бъде решаващо за успешното разкриване на случая.</w:t>
            </w:r>
          </w:p>
          <w:p w14:paraId="23B2525F" w14:textId="77777777" w:rsidR="005510D7" w:rsidRPr="005510D7" w:rsidRDefault="005510D7" w:rsidP="005510D7">
            <w:pPr>
              <w:spacing w:before="100"/>
              <w:jc w:val="both"/>
              <w:rPr>
                <w:iCs/>
                <w:color w:val="000000"/>
                <w:lang w:val="bg-BG"/>
              </w:rPr>
            </w:pPr>
            <w:r w:rsidRPr="005510D7">
              <w:rPr>
                <w:iCs/>
                <w:color w:val="000000"/>
                <w:lang w:val="bg-BG"/>
              </w:rPr>
              <w:t xml:space="preserve">За ефективно справяне с общите заплахи за сигурността националните компетентни органи трябва да разполагат със съответните средства, инструменти и условия, които ще им позволят да допринесат за изпълнението на договорените приоритети на ЕС в областта на борбата с организираната престъпност и да участват ефективно в оперативните действия в рамките на </w:t>
            </w:r>
            <w:r w:rsidRPr="005510D7">
              <w:rPr>
                <w:iCs/>
                <w:color w:val="000000"/>
              </w:rPr>
              <w:t>EMPACT</w:t>
            </w:r>
            <w:r w:rsidRPr="005510D7">
              <w:rPr>
                <w:iCs/>
                <w:color w:val="000000"/>
                <w:lang w:val="bg-BG"/>
              </w:rPr>
              <w:t xml:space="preserve"> 2022+.</w:t>
            </w:r>
          </w:p>
          <w:p w14:paraId="0B0ED963" w14:textId="77777777" w:rsidR="005510D7" w:rsidRPr="005510D7" w:rsidRDefault="005510D7" w:rsidP="005510D7">
            <w:pPr>
              <w:spacing w:before="100"/>
              <w:jc w:val="both"/>
              <w:rPr>
                <w:iCs/>
                <w:color w:val="000000"/>
                <w:lang w:val="bg-BG"/>
              </w:rPr>
            </w:pPr>
            <w:r w:rsidRPr="005510D7">
              <w:rPr>
                <w:iCs/>
                <w:color w:val="000000"/>
                <w:lang w:val="bg-BG"/>
              </w:rPr>
              <w:t xml:space="preserve">Повечето от трансграничните престъпления, свързани с корупцията, са извършени в съучастие със служители на МВР и граждани, включително от други държави. С оглед честотата на подобни случаи, в граничните райони са проведени операции, включително с партньорски организации от съседни държави за борба с корупцията. </w:t>
            </w:r>
          </w:p>
          <w:p w14:paraId="53B65A65" w14:textId="77777777" w:rsidR="005510D7" w:rsidRPr="005510D7" w:rsidRDefault="005510D7" w:rsidP="005510D7">
            <w:pPr>
              <w:spacing w:before="100"/>
              <w:jc w:val="both"/>
              <w:rPr>
                <w:iCs/>
                <w:color w:val="000000"/>
                <w:lang w:val="bg-BG"/>
              </w:rPr>
            </w:pPr>
            <w:r w:rsidRPr="005510D7">
              <w:rPr>
                <w:iCs/>
                <w:color w:val="000000"/>
                <w:lang w:val="bg-BG"/>
              </w:rPr>
              <w:t xml:space="preserve">През 2016 г. беше създадена „Регионална мрежа за засилено сътрудничество на звената на вътрешна сигурност“ – NERCISU като платформа за активно оперативно регионално сътрудничество, с 24-часова „гореща линия“ за координация и обмен на оперативна информация. Успешно са проведени редица операции, в т.ч. за пресичане на канали за трафик на културни ценности и за трафик на мигранти. </w:t>
            </w:r>
          </w:p>
          <w:p w14:paraId="15B6ADB6" w14:textId="77777777" w:rsidR="005510D7" w:rsidRPr="005510D7" w:rsidRDefault="005510D7" w:rsidP="005510D7">
            <w:pPr>
              <w:spacing w:before="100"/>
              <w:jc w:val="both"/>
              <w:rPr>
                <w:iCs/>
                <w:color w:val="000000"/>
                <w:lang w:val="bg-BG"/>
              </w:rPr>
            </w:pPr>
            <w:r w:rsidRPr="005510D7">
              <w:rPr>
                <w:iCs/>
                <w:color w:val="000000"/>
                <w:lang w:val="bg-BG"/>
              </w:rPr>
              <w:t xml:space="preserve">Успешното сътрудничество в рамките на регионалната мрежа NERCISU трябва да бъде укрепено и развито чрез увеличаване на капацитета на структурите за провеждане на трансгранични съвместни операции в борбата с корупцията и трансграничната престъпност. </w:t>
            </w:r>
          </w:p>
          <w:p w14:paraId="1C32CA81" w14:textId="77777777" w:rsidR="005510D7" w:rsidRPr="005510D7" w:rsidRDefault="005510D7" w:rsidP="005510D7">
            <w:pPr>
              <w:spacing w:before="100"/>
              <w:jc w:val="both"/>
              <w:rPr>
                <w:iCs/>
                <w:color w:val="000000"/>
                <w:lang w:val="bg-BG"/>
              </w:rPr>
            </w:pPr>
            <w:r w:rsidRPr="005510D7">
              <w:rPr>
                <w:iCs/>
                <w:color w:val="000000"/>
                <w:lang w:val="bg-BG"/>
              </w:rPr>
              <w:t xml:space="preserve">Създадени са контактни центрове, които дават възможност за координирана реакция на заплахи и рискове, свързани със сигурността. Дейността им е насочена към обмен на информация и оказване на помощ при предотвратяване и противодействие на престъпления; координиране на дейностите на други компетентни структури и органи и сътрудничество с други центрове за полицейско и митническо сътрудничество. Използват се полезни взаимодействия чрез обединяване на ресурси и знания и обмен на добри практики, с цел разработване на оценки на риска и оказване на подкрепа при съвместни операции. </w:t>
            </w:r>
          </w:p>
          <w:p w14:paraId="638F70DB" w14:textId="77777777" w:rsidR="005510D7" w:rsidRPr="005510D7" w:rsidRDefault="005510D7" w:rsidP="005510D7">
            <w:pPr>
              <w:spacing w:before="100"/>
              <w:jc w:val="both"/>
              <w:rPr>
                <w:iCs/>
                <w:color w:val="000000"/>
                <w:lang w:val="bg-BG"/>
              </w:rPr>
            </w:pPr>
            <w:r w:rsidRPr="005510D7">
              <w:rPr>
                <w:iCs/>
                <w:color w:val="000000"/>
                <w:lang w:val="bg-BG"/>
              </w:rPr>
              <w:t>Служителите на Главна дирекция „Гранична полиция“ (ГДГП), работещи в контактните центрове, анализират и обменят информация в реално време със съседни партньорски служби за престъпления и престъпления, извършени на общата граница, включително за незаконна миграция, контрабанда на мигранти и трафик на хора.</w:t>
            </w:r>
          </w:p>
          <w:p w14:paraId="10E97207" w14:textId="77777777" w:rsidR="005510D7" w:rsidRPr="005510D7" w:rsidRDefault="005510D7" w:rsidP="005510D7">
            <w:pPr>
              <w:spacing w:before="100"/>
              <w:jc w:val="both"/>
              <w:rPr>
                <w:iCs/>
                <w:color w:val="000000"/>
                <w:lang w:val="bg-BG"/>
              </w:rPr>
            </w:pPr>
            <w:r w:rsidRPr="005510D7">
              <w:rPr>
                <w:iCs/>
                <w:color w:val="000000"/>
                <w:lang w:val="bg-BG"/>
              </w:rPr>
              <w:t xml:space="preserve">България е транзитна държава за трафика на противозаконно отнети МПС, но и крайна дестинация. Основната цел на престъпните организации е регистрирането на тези автомобили, като по този начин се осигуряват оригинални документи, които могат да бъдат използвани за последващ износ на МПС. През 2020 г. на територията на страната са установени 460 бр. МПС, които са били обявени за издирване в ШИС и базата данни на МОКП Интерпол. За да се противодейства на престъпления, свързани с моторни превозни средства, е необходимо да се повиши криминалистичната експертиза и да се създаде мрежа от експерти на национално ниво. Това ще доведе до повишаване на ефективността при провеждане на съвместни операции. </w:t>
            </w:r>
          </w:p>
          <w:p w14:paraId="66C842AB" w14:textId="77777777" w:rsidR="005510D7" w:rsidRPr="005510D7" w:rsidRDefault="005510D7" w:rsidP="005510D7">
            <w:pPr>
              <w:spacing w:before="100"/>
              <w:jc w:val="both"/>
              <w:rPr>
                <w:iCs/>
                <w:color w:val="000000"/>
                <w:lang w:val="bg-BG"/>
              </w:rPr>
            </w:pPr>
            <w:r w:rsidRPr="005510D7">
              <w:rPr>
                <w:iCs/>
                <w:color w:val="000000"/>
                <w:lang w:val="bg-BG"/>
              </w:rPr>
              <w:t>Липсата на достатъчно дейности за обучение в тематични области като борбата със сексуалната експлоатация на деца и използването на съвместни екипи за разследване, съвместни патрули, горещи преследвания, дискретно наблюдение и други механизми за оперативно сътрудничество в контекста на политическия цикъл на ЕС, със специален акцент върху трансграничните операции, се определя като предизвикателство.</w:t>
            </w:r>
          </w:p>
          <w:p w14:paraId="2BB288F1" w14:textId="77777777" w:rsidR="005510D7" w:rsidRPr="005510D7" w:rsidRDefault="005510D7" w:rsidP="005510D7">
            <w:pPr>
              <w:spacing w:before="100"/>
              <w:jc w:val="both"/>
              <w:rPr>
                <w:iCs/>
                <w:color w:val="000000"/>
                <w:lang w:val="bg-BG"/>
              </w:rPr>
            </w:pPr>
            <w:r w:rsidRPr="005510D7">
              <w:rPr>
                <w:iCs/>
                <w:color w:val="000000"/>
                <w:lang w:val="bg-BG"/>
              </w:rPr>
              <w:t xml:space="preserve">Предвидените дейности продължават и надграждат проектите, изпълнени или в процес на изпълнение по НП по ФВС-Полиция и други финансови инструменти като Норвежки финансов механизъм 2014-2021, Българо-швейцарска програма за развитие и сътрудничество и др. </w:t>
            </w:r>
          </w:p>
          <w:p w14:paraId="7B3C51D3" w14:textId="77777777" w:rsidR="005510D7" w:rsidRPr="005510D7" w:rsidRDefault="005510D7" w:rsidP="005510D7">
            <w:pPr>
              <w:spacing w:before="100"/>
              <w:jc w:val="both"/>
              <w:rPr>
                <w:iCs/>
                <w:color w:val="000000"/>
                <w:lang w:val="bg-BG"/>
              </w:rPr>
            </w:pPr>
            <w:r w:rsidRPr="005510D7">
              <w:rPr>
                <w:iCs/>
                <w:color w:val="000000"/>
                <w:lang w:val="bg-BG"/>
              </w:rPr>
              <w:t>НП по ФВС-Полиция осигури финансиране за проекти в подкрепа на оперативни планове за действие, свързани с приоритетите на ЕС в борбата с престъпността по линия на „Канабис, кокаин и хероин“, „Киберпрестъпления“ и „Престъпления в областта на околната среда“.</w:t>
            </w:r>
          </w:p>
          <w:p w14:paraId="541C0868" w14:textId="77777777" w:rsidR="005510D7" w:rsidRPr="005510D7" w:rsidRDefault="005510D7" w:rsidP="005510D7">
            <w:pPr>
              <w:spacing w:before="100"/>
              <w:jc w:val="both"/>
              <w:rPr>
                <w:iCs/>
                <w:color w:val="000000"/>
                <w:lang w:val="bg-BG"/>
              </w:rPr>
            </w:pPr>
            <w:r w:rsidRPr="005510D7">
              <w:rPr>
                <w:iCs/>
                <w:color w:val="000000"/>
                <w:lang w:val="bg-BG"/>
              </w:rPr>
              <w:lastRenderedPageBreak/>
              <w:t>Действията, финансирани по настоящата програма, като провеждане на съвместни разследвания с чуждестранни партньорски служби за трафик на хора ще бъдат продължени и надградени въз основа на научените уроци и най-добрите практики чрез разширяване на обхвата на съвместните операции и на участващите партньори и чрез фокусиране и върху борбата с други приоритетни заплахи за ЕС. Предвидени са действия като съвместни национални / междуведомствени и международни специализирани операции, инспекции и разследвания на организирани престъпни структури, занимаващи се с трафик и разпространение на огнестрелни оръжия и опасни средства от общ характер, контрабанда на хора / мигранти, трафик на хора, трафик на наркотици, трафик на културни стоки, киберпрестъпления, скиминг, фалшифициране, пране на пари, подпомагане на чужденците да пребивават или да прекосяват ЕС нелегално и тероризъм.</w:t>
            </w:r>
          </w:p>
          <w:p w14:paraId="527B6841" w14:textId="77777777" w:rsidR="005510D7" w:rsidRPr="005510D7" w:rsidRDefault="005510D7" w:rsidP="005510D7">
            <w:pPr>
              <w:spacing w:before="100"/>
              <w:jc w:val="both"/>
              <w:rPr>
                <w:iCs/>
                <w:color w:val="000000"/>
                <w:lang w:val="bg-BG"/>
              </w:rPr>
            </w:pPr>
            <w:r w:rsidRPr="005510D7">
              <w:rPr>
                <w:iCs/>
                <w:color w:val="000000"/>
                <w:lang w:val="bg-BG"/>
              </w:rPr>
              <w:t>Тематичният обхват на дейностите за обучение, финансирани по ФВС-Полиция и НФМ, ще бъде разширен, за да се включат нови обучения за подобряване на междуведомственото и трансграничното сътрудничество с акцент върху борбата със сексуалната експлоатация на деца в контекста на заключенията на Съвета (8 октомври 2019 г.) 12862/19.</w:t>
            </w:r>
          </w:p>
          <w:p w14:paraId="635B63B9" w14:textId="77777777" w:rsidR="005510D7" w:rsidRPr="005510D7" w:rsidRDefault="005510D7" w:rsidP="005510D7">
            <w:pPr>
              <w:spacing w:before="100"/>
              <w:jc w:val="both"/>
              <w:rPr>
                <w:iCs/>
                <w:color w:val="000000"/>
                <w:lang w:val="bg-BG"/>
              </w:rPr>
            </w:pPr>
            <w:r w:rsidRPr="005510D7">
              <w:rPr>
                <w:iCs/>
                <w:color w:val="000000"/>
                <w:lang w:val="bg-BG"/>
              </w:rPr>
              <w:t>В допълнение към идентифицираните нужди и приоритети, свързани с трансграничното сътрудничество в областта на борбата с корупцията, ще бъдат включени нови действия, които ще бъдат насочени към изграждане на точки за контакт/центрове за оперативна подкрепа при съвместни операции. Центровете ще бъдат създадени с цел насърчаване и разработване на мерки за прилагане на съвместни инструменти и практики при изпълнението на съвместни операции в граничните райони партньорски служби от съседните страни. Очакваният резултат е създаването на приложим механизъм за обмен на информация в рамките на NERCISU относно незаконни действия на служители на министерствата на вътрешните работи на съответните държави в условията на извънредна ситуация и в зависимост от оперативната обстановка.</w:t>
            </w:r>
          </w:p>
          <w:p w14:paraId="440D8F71" w14:textId="77777777" w:rsidR="005510D7" w:rsidRPr="005510D7" w:rsidRDefault="005510D7" w:rsidP="005510D7">
            <w:pPr>
              <w:spacing w:before="100"/>
              <w:jc w:val="both"/>
              <w:rPr>
                <w:iCs/>
                <w:color w:val="000000"/>
                <w:lang w:val="bg-BG"/>
              </w:rPr>
            </w:pPr>
            <w:r w:rsidRPr="005510D7">
              <w:rPr>
                <w:iCs/>
                <w:color w:val="000000"/>
                <w:lang w:val="bg-BG"/>
              </w:rPr>
              <w:t xml:space="preserve">За укрепване на трансграничното сътрудничество между държавите, участващи в Контактните центрове, е предвидено ново действие, насочено към финансиране на разходи за персонал за 30 месеца за граничните служители, изпълняващи служебните си задължения на съседна територия и участващи в съвместни операции за патрулиране в смесени екипи в граничната зона на ЕС за противодействие на контрабандата на мигранти, трафика на хора и други трансгранични престъпления. Не се включва опазването на обществения ред.  </w:t>
            </w:r>
          </w:p>
          <w:p w14:paraId="5744B6B8" w14:textId="77777777" w:rsidR="005510D7" w:rsidRPr="005510D7" w:rsidRDefault="005510D7" w:rsidP="005510D7">
            <w:pPr>
              <w:spacing w:before="100"/>
              <w:jc w:val="both"/>
              <w:rPr>
                <w:iCs/>
                <w:color w:val="000000"/>
                <w:lang w:val="bg-BG"/>
              </w:rPr>
            </w:pPr>
            <w:r w:rsidRPr="005510D7">
              <w:rPr>
                <w:iCs/>
                <w:color w:val="000000"/>
                <w:lang w:val="bg-BG"/>
              </w:rPr>
              <w:t>Предвидено е ново действие, насочено към осигуряване на модерно оборудване за криминалистични анализи за установяване на издирвани в ШИС и Интерпол МПС и създаване на национална контактна мрежа с участие на експерти от компетентните органи. Служителите на МВР ще бъдат обучени да работят със софтуера и хардуера.</w:t>
            </w:r>
          </w:p>
          <w:p w14:paraId="0222946D" w14:textId="77777777" w:rsidR="005510D7" w:rsidRPr="005510D7" w:rsidRDefault="005510D7" w:rsidP="005510D7">
            <w:pPr>
              <w:spacing w:before="100"/>
              <w:jc w:val="both"/>
              <w:rPr>
                <w:iCs/>
                <w:color w:val="000000"/>
                <w:lang w:val="bg-BG"/>
              </w:rPr>
            </w:pPr>
            <w:r w:rsidRPr="005510D7">
              <w:rPr>
                <w:iCs/>
                <w:color w:val="000000"/>
                <w:lang w:val="bg-BG"/>
              </w:rPr>
              <w:t>Предвижда се закупуването на специфични (описани в приложението към програмата) транспортни средства (приблизително 42 броя):</w:t>
            </w:r>
          </w:p>
          <w:p w14:paraId="03A4DC70" w14:textId="77777777" w:rsidR="005510D7" w:rsidRPr="005510D7" w:rsidRDefault="005510D7" w:rsidP="005510D7">
            <w:pPr>
              <w:spacing w:before="100"/>
              <w:jc w:val="both"/>
              <w:rPr>
                <w:iCs/>
                <w:color w:val="000000"/>
                <w:lang w:val="bg-BG"/>
              </w:rPr>
            </w:pPr>
            <w:r w:rsidRPr="005510D7">
              <w:rPr>
                <w:iCs/>
                <w:color w:val="000000"/>
                <w:lang w:val="bg-BG"/>
              </w:rPr>
              <w:t xml:space="preserve">- ГДБОП за провеждане на разследвания и оперативно-издирвателни дейности и трансгранични операции за борба с различни форми на организирана престъпност, включително трафик на хора и контрабанда на мигранти </w:t>
            </w:r>
          </w:p>
          <w:p w14:paraId="66A96910" w14:textId="77777777" w:rsidR="005510D7" w:rsidRPr="005510D7" w:rsidRDefault="005510D7" w:rsidP="005510D7">
            <w:pPr>
              <w:spacing w:before="100"/>
              <w:jc w:val="both"/>
              <w:rPr>
                <w:iCs/>
                <w:color w:val="000000"/>
                <w:lang w:val="bg-BG"/>
              </w:rPr>
            </w:pPr>
            <w:r w:rsidRPr="005510D7">
              <w:rPr>
                <w:iCs/>
                <w:color w:val="000000"/>
                <w:lang w:val="bg-BG"/>
              </w:rPr>
              <w:t>- Дирекция „Вътрешна сигурност“ в МВР (ДВС), за да може да участва в съвместни операции с партньорски организации от съседни държави за борба с корупцията в граничните райони.</w:t>
            </w:r>
          </w:p>
          <w:p w14:paraId="0C307A60" w14:textId="77777777" w:rsidR="005510D7" w:rsidRPr="005510D7" w:rsidRDefault="005510D7" w:rsidP="005510D7">
            <w:pPr>
              <w:spacing w:before="100"/>
              <w:jc w:val="both"/>
              <w:rPr>
                <w:iCs/>
                <w:color w:val="000000"/>
                <w:lang w:val="bg-BG"/>
              </w:rPr>
            </w:pPr>
            <w:r w:rsidRPr="005510D7">
              <w:rPr>
                <w:iCs/>
                <w:color w:val="000000"/>
                <w:lang w:val="bg-BG"/>
              </w:rPr>
              <w:t>Предвиждат се дейности, свързани със засилване на сътрудничеството и обмяна на опит с трети държави в рамките на действията, предложени от двете структури.</w:t>
            </w:r>
          </w:p>
          <w:p w14:paraId="3AD36AD3" w14:textId="77777777" w:rsidR="005510D7" w:rsidRPr="005510D7" w:rsidRDefault="005510D7" w:rsidP="005510D7">
            <w:pPr>
              <w:spacing w:before="100"/>
              <w:jc w:val="both"/>
              <w:rPr>
                <w:iCs/>
                <w:color w:val="000000"/>
                <w:lang w:val="bg-BG"/>
              </w:rPr>
            </w:pPr>
            <w:r w:rsidRPr="005510D7">
              <w:rPr>
                <w:iCs/>
                <w:color w:val="000000"/>
                <w:lang w:val="bg-BG"/>
              </w:rPr>
              <w:t>Всички дейности за обучение ще бъдат координирани с CEPOL, за да се засилят синергиите и да се избегне дублирането. Координацията не се отнася до организирането и провеждането на учения на ГДБОП за наблюдение и контрол на операции под прикритие, както и на други подобни съвместни обучения/учения.</w:t>
            </w:r>
          </w:p>
          <w:p w14:paraId="5BB5F219" w14:textId="14D44712" w:rsidR="005510D7" w:rsidRDefault="005510D7" w:rsidP="005510D7">
            <w:pPr>
              <w:spacing w:before="100"/>
              <w:jc w:val="both"/>
              <w:rPr>
                <w:iCs/>
                <w:color w:val="000000"/>
                <w:lang w:val="bg-BG"/>
              </w:rPr>
            </w:pPr>
            <w:r w:rsidRPr="005510D7">
              <w:rPr>
                <w:iCs/>
                <w:color w:val="000000"/>
                <w:lang w:val="bg-BG"/>
              </w:rPr>
              <w:t>Допълнителен преглед ще бъде извършен и обхватът на промените в областта на полицейското сътрудничество ще бъде определен след окончателното приемане на Кодекса на ЕС за полицейско сътрудничество.</w:t>
            </w:r>
          </w:p>
          <w:p w14:paraId="2EB72ACC" w14:textId="415CB0EC" w:rsidR="00D97D1D" w:rsidRPr="005510D7" w:rsidRDefault="00D97D1D" w:rsidP="005510D7">
            <w:pPr>
              <w:spacing w:before="100"/>
              <w:jc w:val="both"/>
              <w:rPr>
                <w:iCs/>
                <w:color w:val="000000"/>
                <w:lang w:val="bg-BG"/>
              </w:rPr>
            </w:pPr>
            <w:r w:rsidRPr="00D97D1D">
              <w:rPr>
                <w:iCs/>
                <w:color w:val="000000"/>
                <w:lang w:val="bg-BG"/>
              </w:rPr>
              <w:lastRenderedPageBreak/>
              <w:t xml:space="preserve">Въз основа на анализа на изпълнението на програмата през 2025 г., </w:t>
            </w:r>
            <w:r w:rsidR="00E910E8">
              <w:rPr>
                <w:iCs/>
                <w:color w:val="000000"/>
                <w:lang w:val="bg-BG"/>
              </w:rPr>
              <w:t xml:space="preserve">е установено, че </w:t>
            </w:r>
            <w:r w:rsidRPr="00D97D1D">
              <w:rPr>
                <w:iCs/>
                <w:color w:val="000000"/>
                <w:lang w:val="bg-BG"/>
              </w:rPr>
              <w:t xml:space="preserve">укрепването на международното оперативно сътрудничество е от съществено значение за справяне с променящите се заплахи за сигурността. </w:t>
            </w:r>
            <w:r w:rsidR="00E910E8">
              <w:rPr>
                <w:iCs/>
                <w:color w:val="000000"/>
                <w:lang w:val="bg-BG"/>
              </w:rPr>
              <w:t>В тази връзка спестените средства</w:t>
            </w:r>
            <w:r w:rsidRPr="00D97D1D">
              <w:rPr>
                <w:iCs/>
                <w:color w:val="000000"/>
                <w:lang w:val="bg-BG"/>
              </w:rPr>
              <w:t xml:space="preserve"> </w:t>
            </w:r>
            <w:r w:rsidR="00E910E8">
              <w:rPr>
                <w:iCs/>
                <w:color w:val="000000"/>
                <w:lang w:val="bg-BG"/>
              </w:rPr>
              <w:t>приоритетно са насочени към</w:t>
            </w:r>
            <w:r w:rsidRPr="00D97D1D">
              <w:rPr>
                <w:iCs/>
                <w:color w:val="000000"/>
                <w:lang w:val="bg-BG"/>
              </w:rPr>
              <w:t xml:space="preserve"> </w:t>
            </w:r>
            <w:r w:rsidR="00E910E8">
              <w:rPr>
                <w:iCs/>
                <w:color w:val="000000"/>
                <w:lang w:val="bg-BG"/>
              </w:rPr>
              <w:t>операцияза подобряване на</w:t>
            </w:r>
            <w:r w:rsidRPr="00D97D1D">
              <w:rPr>
                <w:iCs/>
                <w:color w:val="000000"/>
                <w:lang w:val="bg-BG"/>
              </w:rPr>
              <w:t xml:space="preserve"> сътрудничеството и обмена на знания и най-добри практики с държавите членки на ЕС.</w:t>
            </w:r>
          </w:p>
          <w:p w14:paraId="6E1593ED" w14:textId="77777777" w:rsidR="005510D7" w:rsidRPr="005510D7" w:rsidRDefault="005510D7" w:rsidP="005510D7">
            <w:pPr>
              <w:spacing w:before="100"/>
              <w:jc w:val="both"/>
              <w:rPr>
                <w:iCs/>
                <w:color w:val="000000"/>
                <w:lang w:val="bg-BG"/>
              </w:rPr>
            </w:pPr>
            <w:r w:rsidRPr="005510D7">
              <w:rPr>
                <w:iCs/>
                <w:color w:val="000000"/>
                <w:lang w:val="bg-BG"/>
              </w:rPr>
              <w:t>Програмата по ФВС ще допринесе за постигането на специфичната цел, посочена в чл. 3 (2) (б), като се фокусира върху мерките за изпълнение и съответните примерни действия, като изброените по-долу:</w:t>
            </w:r>
          </w:p>
          <w:p w14:paraId="4CD8EC0C" w14:textId="77777777" w:rsidR="005510D7" w:rsidRPr="005510D7" w:rsidRDefault="005510D7" w:rsidP="005510D7">
            <w:pPr>
              <w:numPr>
                <w:ilvl w:val="0"/>
                <w:numId w:val="1"/>
              </w:numPr>
              <w:spacing w:before="100"/>
              <w:jc w:val="both"/>
              <w:rPr>
                <w:iCs/>
                <w:color w:val="000000"/>
                <w:lang w:val="bg-BG"/>
              </w:rPr>
            </w:pPr>
            <w:r w:rsidRPr="005510D7">
              <w:rPr>
                <w:iCs/>
                <w:color w:val="000000"/>
                <w:lang w:val="bg-BG"/>
              </w:rPr>
              <w:t>Увеличаване на броя на операциите по правоприлагане, по-специално чрез улесняване и подобряване на използването на съвместни екипи за разследване и други механизми за оперативно сътрудничество</w:t>
            </w:r>
          </w:p>
          <w:p w14:paraId="38E4796D" w14:textId="77777777" w:rsidR="005510D7" w:rsidRPr="005510D7" w:rsidRDefault="005510D7" w:rsidP="005510D7">
            <w:pPr>
              <w:spacing w:before="100"/>
              <w:jc w:val="both"/>
              <w:rPr>
                <w:iCs/>
                <w:color w:val="000000"/>
                <w:lang w:val="bg-BG"/>
              </w:rPr>
            </w:pPr>
            <w:r w:rsidRPr="005510D7">
              <w:rPr>
                <w:iCs/>
                <w:color w:val="000000"/>
                <w:lang w:val="bg-BG"/>
              </w:rPr>
              <w:t>Предвидени са следните индикативни действия/проекти:</w:t>
            </w:r>
          </w:p>
          <w:p w14:paraId="3013281C" w14:textId="77777777" w:rsidR="005510D7" w:rsidRPr="005510D7" w:rsidRDefault="005510D7" w:rsidP="005510D7">
            <w:pPr>
              <w:spacing w:before="100"/>
              <w:jc w:val="both"/>
              <w:rPr>
                <w:iCs/>
                <w:color w:val="000000"/>
                <w:lang w:val="bg-BG"/>
              </w:rPr>
            </w:pPr>
            <w:r w:rsidRPr="005510D7">
              <w:rPr>
                <w:iCs/>
                <w:color w:val="000000"/>
                <w:lang w:val="bg-BG"/>
              </w:rPr>
              <w:t xml:space="preserve">- подобряване и интензифициране на трансграничното сътрудничество, включително провеждане на съвместни операции в областта на борбата с тежката и организираната престъпност. </w:t>
            </w:r>
          </w:p>
          <w:p w14:paraId="69F68805" w14:textId="77777777" w:rsidR="005510D7" w:rsidRPr="005510D7" w:rsidRDefault="005510D7" w:rsidP="005510D7">
            <w:pPr>
              <w:spacing w:before="100"/>
              <w:jc w:val="both"/>
              <w:rPr>
                <w:iCs/>
                <w:color w:val="000000"/>
                <w:lang w:val="bg-BG"/>
              </w:rPr>
            </w:pPr>
            <w:r w:rsidRPr="005510D7">
              <w:rPr>
                <w:iCs/>
                <w:color w:val="000000"/>
                <w:lang w:val="bg-BG"/>
              </w:rPr>
              <w:t>Ще бъде предоставена подкрепа, наред с другото, за следните типове действия: цикъл на политиката на ЕС/оперативни действия EMPACT; участие в семинари, съвместни учения и събития за подобряване на взаимното доверие, обмен и разпространение на ноу-хау, информация, опит и най-добри практики, обединяване на ресурси и опит; редовни тактически учения на служителите на ГДБОП, както и с партньорски служби за наблюдение и контрол в реално време на операции под прикритие и симулационни операции; финансиране на оборудване и транспортни средства и др.</w:t>
            </w:r>
          </w:p>
          <w:p w14:paraId="31CD1D74" w14:textId="77777777" w:rsidR="005510D7" w:rsidRPr="005510D7" w:rsidRDefault="005510D7" w:rsidP="005510D7">
            <w:pPr>
              <w:numPr>
                <w:ilvl w:val="0"/>
                <w:numId w:val="1"/>
              </w:numPr>
              <w:spacing w:before="100"/>
              <w:jc w:val="both"/>
              <w:rPr>
                <w:iCs/>
                <w:color w:val="000000"/>
                <w:lang w:val="bg-BG"/>
              </w:rPr>
            </w:pPr>
            <w:r w:rsidRPr="005510D7">
              <w:rPr>
                <w:iCs/>
                <w:color w:val="000000"/>
                <w:lang w:val="bg-BG"/>
              </w:rPr>
              <w:t>Подобряване на координацията и засилване на сътрудничеството между компетентните органи вътре в държавите членки и помежду им, както и с други подходящи участници</w:t>
            </w:r>
          </w:p>
          <w:p w14:paraId="24EFCBBA" w14:textId="77777777" w:rsidR="005510D7" w:rsidRPr="005510D7" w:rsidRDefault="005510D7" w:rsidP="005510D7">
            <w:pPr>
              <w:spacing w:before="100"/>
              <w:jc w:val="both"/>
              <w:rPr>
                <w:iCs/>
                <w:color w:val="000000"/>
                <w:lang w:val="bg-BG"/>
              </w:rPr>
            </w:pPr>
            <w:r w:rsidRPr="005510D7">
              <w:rPr>
                <w:iCs/>
                <w:color w:val="000000"/>
                <w:lang w:val="bg-BG"/>
              </w:rPr>
              <w:t>Предвидени са следните индикативни действия/проекти:</w:t>
            </w:r>
          </w:p>
          <w:p w14:paraId="1E675738" w14:textId="77777777" w:rsidR="005510D7" w:rsidRPr="005510D7" w:rsidRDefault="005510D7" w:rsidP="005510D7">
            <w:pPr>
              <w:spacing w:before="100"/>
              <w:jc w:val="both"/>
              <w:rPr>
                <w:iCs/>
                <w:color w:val="000000"/>
                <w:lang w:val="bg-BG"/>
              </w:rPr>
            </w:pPr>
            <w:r w:rsidRPr="005510D7">
              <w:rPr>
                <w:iCs/>
                <w:color w:val="000000"/>
                <w:lang w:val="bg-BG"/>
              </w:rPr>
              <w:t>- Повишаване на оперативния капацитет на служителите на дирекция „Вътрешна сигурност“ за участие в трансгранични операции със структурите на страните от Западните Балкани в областта на предотвратяването и противодействието на корупцията</w:t>
            </w:r>
          </w:p>
          <w:p w14:paraId="7D89BF1B" w14:textId="77777777" w:rsidR="005510D7" w:rsidRPr="005510D7" w:rsidRDefault="005510D7" w:rsidP="005510D7">
            <w:pPr>
              <w:spacing w:before="100"/>
              <w:jc w:val="both"/>
              <w:rPr>
                <w:iCs/>
                <w:color w:val="000000"/>
                <w:lang w:val="bg-BG"/>
              </w:rPr>
            </w:pPr>
            <w:r w:rsidRPr="005510D7">
              <w:rPr>
                <w:iCs/>
                <w:color w:val="000000"/>
                <w:lang w:val="bg-BG"/>
              </w:rPr>
              <w:t>- Участие на служители на ГДГП в дейности, свързани с подобряване на трансграничното сътрудничество</w:t>
            </w:r>
          </w:p>
          <w:p w14:paraId="28755EC1" w14:textId="35DD5A1B" w:rsidR="005510D7" w:rsidRDefault="005510D7" w:rsidP="005510D7">
            <w:pPr>
              <w:spacing w:before="100"/>
              <w:jc w:val="both"/>
              <w:rPr>
                <w:iCs/>
                <w:color w:val="000000"/>
                <w:lang w:val="bg-BG"/>
              </w:rPr>
            </w:pPr>
            <w:r w:rsidRPr="005510D7">
              <w:rPr>
                <w:iCs/>
                <w:color w:val="000000"/>
                <w:lang w:val="bg-BG"/>
              </w:rPr>
              <w:t>- Подобряване на координацията и взаимодействието на правоприлагащите органи, които се занимават с превенция на организираната престъпност и престъпленията свързани с МПС. Създаване на национална мрежа от контактни точки.</w:t>
            </w:r>
          </w:p>
          <w:p w14:paraId="07D68A20" w14:textId="51BA03CB" w:rsidR="00547463" w:rsidRPr="005510D7" w:rsidRDefault="00547463" w:rsidP="005510D7">
            <w:pPr>
              <w:spacing w:before="100"/>
              <w:jc w:val="both"/>
              <w:rPr>
                <w:iCs/>
                <w:color w:val="000000"/>
                <w:lang w:val="bg-BG"/>
              </w:rPr>
            </w:pPr>
            <w:r w:rsidRPr="00547463">
              <w:rPr>
                <w:iCs/>
                <w:color w:val="000000"/>
                <w:lang w:val="bg-BG"/>
              </w:rPr>
              <w:t>-</w:t>
            </w:r>
            <w:r w:rsidR="00E910E8">
              <w:rPr>
                <w:iCs/>
                <w:color w:val="000000"/>
                <w:lang w:val="bg-BG"/>
              </w:rPr>
              <w:t>Укрепване на оперативния капацитет на</w:t>
            </w:r>
            <w:r w:rsidRPr="00547463">
              <w:rPr>
                <w:iCs/>
                <w:color w:val="000000"/>
                <w:lang w:val="bg-BG"/>
              </w:rPr>
              <w:t xml:space="preserve"> ДАТО и съответните служби на държавите членки на ЕС чрез обмен на добри практики</w:t>
            </w:r>
            <w:r w:rsidR="00E910E8">
              <w:rPr>
                <w:iCs/>
                <w:color w:val="000000"/>
                <w:lang w:val="bg-BG"/>
              </w:rPr>
              <w:t xml:space="preserve"> и опит</w:t>
            </w:r>
            <w:r w:rsidRPr="00547463">
              <w:rPr>
                <w:iCs/>
                <w:color w:val="000000"/>
                <w:lang w:val="bg-BG"/>
              </w:rPr>
              <w:t>, обучение и трансграничн</w:t>
            </w:r>
            <w:r w:rsidR="00E910E8">
              <w:rPr>
                <w:iCs/>
                <w:color w:val="000000"/>
                <w:lang w:val="bg-BG"/>
              </w:rPr>
              <w:t>о</w:t>
            </w:r>
            <w:r w:rsidRPr="00547463">
              <w:rPr>
                <w:iCs/>
                <w:color w:val="000000"/>
                <w:lang w:val="bg-BG"/>
              </w:rPr>
              <w:t xml:space="preserve"> </w:t>
            </w:r>
            <w:r w:rsidR="00E910E8">
              <w:rPr>
                <w:iCs/>
                <w:color w:val="000000"/>
                <w:lang w:val="bg-BG"/>
              </w:rPr>
              <w:t>сътрудничество</w:t>
            </w:r>
            <w:r w:rsidRPr="00547463">
              <w:rPr>
                <w:iCs/>
                <w:color w:val="000000"/>
                <w:lang w:val="bg-BG"/>
              </w:rPr>
              <w:t>.</w:t>
            </w:r>
          </w:p>
          <w:p w14:paraId="39C0D3FA" w14:textId="77777777" w:rsidR="005510D7" w:rsidRPr="005510D7" w:rsidRDefault="005510D7" w:rsidP="005510D7">
            <w:pPr>
              <w:spacing w:before="100"/>
              <w:jc w:val="both"/>
              <w:rPr>
                <w:iCs/>
                <w:color w:val="000000"/>
                <w:lang w:val="bg-BG"/>
              </w:rPr>
            </w:pPr>
            <w:r w:rsidRPr="005510D7">
              <w:rPr>
                <w:iCs/>
                <w:color w:val="000000"/>
                <w:lang w:val="bg-BG"/>
              </w:rPr>
              <w:t>Ще бъде предоставена подкрепа, наред с другото, за следните типове действия:</w:t>
            </w:r>
          </w:p>
          <w:p w14:paraId="3590EAB3" w14:textId="77777777" w:rsidR="005510D7" w:rsidRPr="005510D7" w:rsidRDefault="005510D7" w:rsidP="005510D7">
            <w:pPr>
              <w:spacing w:before="100"/>
              <w:jc w:val="both"/>
              <w:rPr>
                <w:iCs/>
                <w:color w:val="000000"/>
                <w:lang w:val="bg-BG"/>
              </w:rPr>
            </w:pPr>
            <w:r w:rsidRPr="005510D7">
              <w:rPr>
                <w:iCs/>
                <w:color w:val="000000"/>
                <w:lang w:val="bg-BG"/>
              </w:rPr>
              <w:t>-предоставяне на подкрепа на тематични или междусекторни мрежи от специализирани национални звена и национални звена за контакт с цел подобряване на взаимното доверие, обмена и разпространението на ноу-хау, информация, опит и най-добри практики, обединяване на ресурси и опит в съвместни центрове за високи постижения - провеждане на годишни работни срещи на отговорните структури от страните партньори, кръгли маси и семинари;</w:t>
            </w:r>
          </w:p>
          <w:p w14:paraId="13889671" w14:textId="77777777" w:rsidR="005510D7" w:rsidRPr="005510D7" w:rsidRDefault="005510D7" w:rsidP="005510D7">
            <w:pPr>
              <w:spacing w:before="100"/>
              <w:jc w:val="both"/>
              <w:rPr>
                <w:iCs/>
                <w:color w:val="000000"/>
                <w:lang w:val="bg-BG"/>
              </w:rPr>
            </w:pPr>
            <w:r w:rsidRPr="005510D7">
              <w:rPr>
                <w:iCs/>
                <w:color w:val="000000"/>
                <w:lang w:val="bg-BG"/>
              </w:rPr>
              <w:t>- координиране на участието в съвместни оперативни действия;</w:t>
            </w:r>
          </w:p>
          <w:p w14:paraId="7A00367A" w14:textId="77777777" w:rsidR="005510D7" w:rsidRPr="005510D7" w:rsidRDefault="005510D7" w:rsidP="005510D7">
            <w:pPr>
              <w:spacing w:before="100"/>
              <w:jc w:val="both"/>
              <w:rPr>
                <w:iCs/>
                <w:color w:val="000000"/>
                <w:lang w:val="bg-BG"/>
              </w:rPr>
            </w:pPr>
            <w:r w:rsidRPr="005510D7">
              <w:rPr>
                <w:iCs/>
                <w:color w:val="000000"/>
                <w:lang w:val="bg-BG"/>
              </w:rPr>
              <w:t>- командировъчни разходи за служители от Контактните центрове;</w:t>
            </w:r>
          </w:p>
          <w:p w14:paraId="7536E6D2" w14:textId="77777777" w:rsidR="005510D7" w:rsidRPr="005510D7" w:rsidRDefault="005510D7" w:rsidP="005510D7">
            <w:pPr>
              <w:spacing w:before="100"/>
              <w:jc w:val="both"/>
              <w:rPr>
                <w:iCs/>
                <w:color w:val="000000"/>
                <w:lang w:val="bg-BG"/>
              </w:rPr>
            </w:pPr>
            <w:r w:rsidRPr="005510D7">
              <w:rPr>
                <w:iCs/>
                <w:color w:val="000000"/>
                <w:lang w:val="bg-BG"/>
              </w:rPr>
              <w:t>- финансиране на оборудване и транспортни средства;</w:t>
            </w:r>
          </w:p>
          <w:p w14:paraId="5641F3E8" w14:textId="77777777" w:rsidR="005510D7" w:rsidRPr="005510D7" w:rsidRDefault="005510D7" w:rsidP="005510D7">
            <w:pPr>
              <w:spacing w:before="100"/>
              <w:jc w:val="both"/>
              <w:rPr>
                <w:iCs/>
                <w:color w:val="000000"/>
                <w:lang w:val="bg-BG"/>
              </w:rPr>
            </w:pPr>
            <w:r w:rsidRPr="005510D7">
              <w:rPr>
                <w:iCs/>
                <w:color w:val="000000"/>
                <w:lang w:val="bg-BG"/>
              </w:rPr>
              <w:t>- обучения;</w:t>
            </w:r>
          </w:p>
          <w:p w14:paraId="3B370198" w14:textId="77777777" w:rsidR="005510D7" w:rsidRPr="005510D7" w:rsidRDefault="005510D7" w:rsidP="005510D7">
            <w:pPr>
              <w:spacing w:before="100"/>
              <w:jc w:val="both"/>
              <w:rPr>
                <w:iCs/>
                <w:color w:val="000000"/>
                <w:lang w:val="bg-BG"/>
              </w:rPr>
            </w:pPr>
            <w:r w:rsidRPr="005510D7">
              <w:rPr>
                <w:iCs/>
                <w:color w:val="000000"/>
                <w:lang w:val="bg-BG"/>
              </w:rPr>
              <w:t xml:space="preserve">- действия, даващи правомощия на общностите да разработват местни подходи и политики за превенция, както и дейности за повишаване на осведомеността и комуникация между заинтересованите страни и широката общественост относно политиките за сигурност на Съюза- </w:t>
            </w:r>
            <w:r w:rsidRPr="005510D7">
              <w:rPr>
                <w:iCs/>
                <w:color w:val="000000"/>
                <w:lang w:val="bg-BG"/>
              </w:rPr>
              <w:lastRenderedPageBreak/>
              <w:t>повишаване на осведомеността и информационни кампании в някои университети в България и в държави партньори и др.</w:t>
            </w:r>
          </w:p>
          <w:p w14:paraId="4844F6CA" w14:textId="77777777" w:rsidR="005510D7" w:rsidRPr="005510D7" w:rsidRDefault="005510D7" w:rsidP="005510D7">
            <w:pPr>
              <w:spacing w:before="100"/>
              <w:jc w:val="both"/>
              <w:rPr>
                <w:iCs/>
                <w:color w:val="000000"/>
                <w:lang w:val="bg-BG"/>
              </w:rPr>
            </w:pPr>
            <w:r w:rsidRPr="005510D7">
              <w:rPr>
                <w:iCs/>
                <w:color w:val="000000"/>
                <w:lang w:val="bg-BG"/>
              </w:rPr>
              <w:t>-Подобряване на междуведомственото сътрудничество на равнището на Съюза между държавите членки и между държавите членки и съответните органи, служби и агенции на Съюза, както и на сътрудничеството на национално равнище между компетентните органи във всяка държава членка</w:t>
            </w:r>
          </w:p>
          <w:p w14:paraId="18BC83AB" w14:textId="77777777" w:rsidR="005510D7" w:rsidRPr="005510D7" w:rsidRDefault="005510D7" w:rsidP="005510D7">
            <w:pPr>
              <w:spacing w:before="100"/>
              <w:jc w:val="both"/>
              <w:rPr>
                <w:iCs/>
                <w:color w:val="000000"/>
                <w:lang w:val="bg-BG"/>
              </w:rPr>
            </w:pPr>
            <w:r w:rsidRPr="005510D7">
              <w:rPr>
                <w:iCs/>
                <w:color w:val="000000"/>
                <w:lang w:val="bg-BG"/>
              </w:rPr>
              <w:t>Предвиждат се следните примерни действия/проекти:</w:t>
            </w:r>
          </w:p>
          <w:p w14:paraId="1313FA43" w14:textId="77777777" w:rsidR="005510D7" w:rsidRPr="005510D7" w:rsidRDefault="005510D7" w:rsidP="005510D7">
            <w:pPr>
              <w:spacing w:before="100"/>
              <w:jc w:val="both"/>
              <w:rPr>
                <w:iCs/>
                <w:color w:val="000000"/>
                <w:lang w:val="bg-BG"/>
              </w:rPr>
            </w:pPr>
            <w:r w:rsidRPr="005510D7">
              <w:rPr>
                <w:iCs/>
                <w:color w:val="000000"/>
                <w:lang w:val="bg-BG"/>
              </w:rPr>
              <w:t>- Обучение за подобряване на междуведомственото и трансграничното сътрудничество с акцент върху борбата със сексуалната експлоатация на деца</w:t>
            </w:r>
          </w:p>
          <w:p w14:paraId="0074863B" w14:textId="77777777" w:rsidR="005510D7" w:rsidRPr="005510D7" w:rsidRDefault="005510D7" w:rsidP="005510D7">
            <w:pPr>
              <w:spacing w:before="100"/>
              <w:jc w:val="both"/>
              <w:rPr>
                <w:iCs/>
                <w:color w:val="000000"/>
                <w:lang w:val="bg-BG"/>
              </w:rPr>
            </w:pPr>
            <w:r w:rsidRPr="005510D7">
              <w:rPr>
                <w:iCs/>
                <w:color w:val="000000"/>
                <w:lang w:val="bg-BG"/>
              </w:rPr>
              <w:t>Подкрепа ще бъде предоставена, наред с другото, за следните видове действия:</w:t>
            </w:r>
          </w:p>
          <w:p w14:paraId="114E2728" w14:textId="77777777" w:rsidR="005510D7" w:rsidRPr="005510D7" w:rsidRDefault="005510D7" w:rsidP="005510D7">
            <w:pPr>
              <w:spacing w:before="100"/>
              <w:jc w:val="both"/>
              <w:rPr>
                <w:iCs/>
                <w:color w:val="000000"/>
                <w:lang w:val="bg-BG"/>
              </w:rPr>
            </w:pPr>
            <w:r w:rsidRPr="005510D7">
              <w:rPr>
                <w:iCs/>
                <w:color w:val="000000"/>
                <w:lang w:val="bg-BG"/>
              </w:rPr>
              <w:t>- предоставяне на подкрепа на националните звена за контакт на CEPOL с цел подобряване на взаимното доверие, обмен и разпространение на ноу-хау, информация, опит и най-добри практики, обединяване на ресурси и експертен опит</w:t>
            </w:r>
          </w:p>
          <w:p w14:paraId="7E40D2F7" w14:textId="77777777" w:rsidR="005510D7" w:rsidRPr="005510D7" w:rsidRDefault="005510D7" w:rsidP="005510D7">
            <w:pPr>
              <w:spacing w:before="100"/>
              <w:jc w:val="both"/>
              <w:rPr>
                <w:iCs/>
                <w:color w:val="000000"/>
                <w:lang w:val="bg-BG"/>
              </w:rPr>
            </w:pPr>
            <w:r w:rsidRPr="005510D7">
              <w:rPr>
                <w:iCs/>
                <w:color w:val="000000"/>
                <w:lang w:val="bg-BG"/>
              </w:rPr>
              <w:t xml:space="preserve">- образование и обучение </w:t>
            </w:r>
          </w:p>
          <w:p w14:paraId="17EA443B" w14:textId="77777777" w:rsidR="005510D7" w:rsidRPr="005510D7" w:rsidRDefault="005510D7" w:rsidP="005510D7">
            <w:pPr>
              <w:spacing w:before="100"/>
              <w:jc w:val="both"/>
              <w:rPr>
                <w:iCs/>
                <w:color w:val="000000"/>
                <w:lang w:val="bg-BG"/>
              </w:rPr>
            </w:pPr>
            <w:r w:rsidRPr="005510D7">
              <w:rPr>
                <w:iCs/>
                <w:color w:val="000000"/>
                <w:lang w:val="bg-BG"/>
              </w:rPr>
              <w:t>- финансиране на оборудване и съоръжения, свързани със сигурността - ремонт на зали за обучение и закупуване на оборудване за изграждане на специализиран център за обучение за борба със сексуалната експлоатация на деца и подобряване на трансграничното сътрудничество и др.</w:t>
            </w:r>
          </w:p>
          <w:p w14:paraId="11485C49" w14:textId="77777777" w:rsidR="005510D7" w:rsidRPr="005510D7" w:rsidRDefault="005510D7" w:rsidP="005510D7">
            <w:pPr>
              <w:spacing w:before="100"/>
              <w:jc w:val="both"/>
              <w:rPr>
                <w:iCs/>
                <w:color w:val="000000"/>
                <w:lang w:val="bg-BG"/>
              </w:rPr>
            </w:pPr>
            <w:r w:rsidRPr="005510D7">
              <w:rPr>
                <w:iCs/>
                <w:color w:val="000000"/>
                <w:lang w:val="bg-BG"/>
              </w:rPr>
              <w:t>Посочените действия, предложени за подкрепа по програмата по ФВС, ще допринесат за постигането на следните приоритети:</w:t>
            </w:r>
          </w:p>
          <w:p w14:paraId="20090F9F" w14:textId="77777777" w:rsidR="005510D7" w:rsidRPr="005510D7" w:rsidRDefault="005510D7" w:rsidP="005510D7">
            <w:pPr>
              <w:spacing w:before="100"/>
              <w:jc w:val="both"/>
              <w:rPr>
                <w:iCs/>
                <w:color w:val="000000"/>
                <w:lang w:val="bg-BG"/>
              </w:rPr>
            </w:pPr>
            <w:r w:rsidRPr="005510D7">
              <w:rPr>
                <w:iCs/>
                <w:color w:val="000000"/>
                <w:lang w:val="bg-BG"/>
              </w:rPr>
              <w:t>- улесняване и подобряване на използването на съвместни екипи за разследване, съвместни операции и други механизми за оперативно сътрудничество в контекста на цикъла на политиката на ЕС;</w:t>
            </w:r>
          </w:p>
          <w:p w14:paraId="16A91BF5" w14:textId="77777777" w:rsidR="005510D7" w:rsidRPr="005510D7" w:rsidRDefault="005510D7" w:rsidP="005510D7">
            <w:pPr>
              <w:spacing w:before="100"/>
              <w:jc w:val="both"/>
              <w:rPr>
                <w:iCs/>
                <w:color w:val="000000"/>
                <w:lang w:val="bg-BG"/>
              </w:rPr>
            </w:pPr>
            <w:r w:rsidRPr="005510D7">
              <w:rPr>
                <w:iCs/>
                <w:color w:val="000000"/>
                <w:lang w:val="bg-BG"/>
              </w:rPr>
              <w:t>- подпомагане на участието в действия, координирани от Съвместната работна група за борба с киберпрестъпността (J-CAT);</w:t>
            </w:r>
          </w:p>
          <w:p w14:paraId="70A24DA2" w14:textId="77777777" w:rsidR="005510D7" w:rsidRPr="005510D7" w:rsidRDefault="005510D7" w:rsidP="005510D7">
            <w:pPr>
              <w:spacing w:before="100"/>
              <w:jc w:val="both"/>
              <w:rPr>
                <w:iCs/>
                <w:color w:val="000000"/>
                <w:lang w:val="bg-BG"/>
              </w:rPr>
            </w:pPr>
            <w:r w:rsidRPr="005510D7">
              <w:rPr>
                <w:iCs/>
                <w:color w:val="000000"/>
                <w:lang w:val="bg-BG"/>
              </w:rPr>
              <w:t>- ефикасно трансгранично сътрудничество в областта на противодействието на сексуалното насилие срещу деца;</w:t>
            </w:r>
          </w:p>
          <w:p w14:paraId="1D893292" w14:textId="77777777" w:rsidR="005510D7" w:rsidRPr="005510D7" w:rsidRDefault="005510D7" w:rsidP="005510D7">
            <w:pPr>
              <w:spacing w:before="100"/>
              <w:jc w:val="both"/>
              <w:rPr>
                <w:iCs/>
                <w:color w:val="000000"/>
                <w:lang w:val="bg-BG"/>
              </w:rPr>
            </w:pPr>
            <w:r w:rsidRPr="005510D7">
              <w:rPr>
                <w:iCs/>
                <w:color w:val="000000"/>
                <w:lang w:val="bg-BG"/>
              </w:rPr>
              <w:t>- подкрепа за участието в Оперативните групи за сътрудничество за идентифициране на  цели от особена важност (High Value Targets), представляващи значителен риск за вътрешната сигурност на ЕС;</w:t>
            </w:r>
          </w:p>
          <w:p w14:paraId="3365C21D" w14:textId="77777777" w:rsidR="005510D7" w:rsidRPr="005510D7" w:rsidRDefault="005510D7" w:rsidP="005510D7">
            <w:pPr>
              <w:spacing w:before="100"/>
              <w:jc w:val="both"/>
              <w:rPr>
                <w:iCs/>
                <w:color w:val="000000"/>
                <w:lang w:val="bg-BG"/>
              </w:rPr>
            </w:pPr>
            <w:r w:rsidRPr="005510D7">
              <w:rPr>
                <w:iCs/>
                <w:color w:val="000000"/>
                <w:lang w:val="bg-BG"/>
              </w:rPr>
              <w:t>- улесняване на оперативното сътрудничество и координацията, включително със съответните институции на трети държави за по-ефективно разследване на трансгранични случаи на корупция;</w:t>
            </w:r>
          </w:p>
          <w:p w14:paraId="61D4996A" w14:textId="77777777" w:rsidR="005510D7" w:rsidRPr="005510D7" w:rsidRDefault="005510D7" w:rsidP="005510D7">
            <w:pPr>
              <w:spacing w:before="100"/>
              <w:jc w:val="both"/>
              <w:rPr>
                <w:iCs/>
                <w:color w:val="000000"/>
                <w:lang w:val="bg-BG"/>
              </w:rPr>
            </w:pPr>
            <w:r w:rsidRPr="005510D7">
              <w:rPr>
                <w:iCs/>
                <w:color w:val="000000"/>
                <w:lang w:val="bg-BG"/>
              </w:rPr>
              <w:t>- улесняване на обмена на информация и обученията по отношение на добрите практики за разследване на трансгранични случаи, свързани с корупция;</w:t>
            </w:r>
          </w:p>
          <w:p w14:paraId="340E7144" w14:textId="77777777" w:rsidR="005510D7" w:rsidRPr="005510D7" w:rsidRDefault="005510D7" w:rsidP="005510D7">
            <w:pPr>
              <w:spacing w:before="100"/>
              <w:jc w:val="both"/>
              <w:rPr>
                <w:iCs/>
                <w:color w:val="000000"/>
                <w:lang w:val="bg-BG"/>
              </w:rPr>
            </w:pPr>
            <w:r w:rsidRPr="005510D7">
              <w:rPr>
                <w:iCs/>
                <w:color w:val="000000"/>
                <w:lang w:val="bg-BG"/>
              </w:rPr>
              <w:t>- насърчаване на стратегическото и оперативното сътрудничество за борба с трафика на наркотици и оръжие и контрабандата на мигранти;</w:t>
            </w:r>
          </w:p>
          <w:p w14:paraId="291C1DEA" w14:textId="77777777" w:rsidR="005510D7" w:rsidRPr="005510D7" w:rsidRDefault="005510D7" w:rsidP="005510D7">
            <w:pPr>
              <w:spacing w:before="100"/>
              <w:jc w:val="both"/>
              <w:rPr>
                <w:iCs/>
                <w:color w:val="000000"/>
                <w:lang w:val="bg-BG"/>
              </w:rPr>
            </w:pPr>
            <w:r w:rsidRPr="005510D7">
              <w:rPr>
                <w:iCs/>
                <w:color w:val="000000"/>
                <w:lang w:val="bg-BG"/>
              </w:rPr>
              <w:t>- повишаване на координацията и сътрудничеството между правоприлагащите и други компетентни органи чрез мрежи от специализирани национални звена;</w:t>
            </w:r>
          </w:p>
          <w:p w14:paraId="36B4562D" w14:textId="77777777" w:rsidR="005510D7" w:rsidRPr="005510D7" w:rsidRDefault="005510D7" w:rsidP="005510D7">
            <w:pPr>
              <w:spacing w:before="100"/>
              <w:jc w:val="both"/>
              <w:rPr>
                <w:iCs/>
                <w:color w:val="000000"/>
                <w:lang w:val="bg-BG"/>
              </w:rPr>
            </w:pPr>
            <w:r w:rsidRPr="005510D7">
              <w:rPr>
                <w:iCs/>
                <w:color w:val="000000"/>
                <w:lang w:val="bg-BG"/>
              </w:rPr>
              <w:t>- разширяване на подкрепата в областта на криминалистичната експертиза.</w:t>
            </w:r>
          </w:p>
          <w:p w14:paraId="3F5AD0B8" w14:textId="77777777" w:rsidR="005510D7" w:rsidRPr="005510D7" w:rsidRDefault="005510D7" w:rsidP="005510D7">
            <w:pPr>
              <w:numPr>
                <w:ilvl w:val="0"/>
                <w:numId w:val="1"/>
              </w:numPr>
              <w:spacing w:before="100"/>
              <w:jc w:val="both"/>
              <w:rPr>
                <w:iCs/>
                <w:color w:val="000000"/>
                <w:lang w:val="bg-BG"/>
              </w:rPr>
            </w:pPr>
            <w:r w:rsidRPr="005510D7">
              <w:rPr>
                <w:iCs/>
                <w:color w:val="000000"/>
                <w:lang w:val="bg-BG"/>
              </w:rPr>
              <w:t xml:space="preserve">Специфични действия </w:t>
            </w:r>
          </w:p>
          <w:p w14:paraId="1A05EA8E" w14:textId="77777777" w:rsidR="005510D7" w:rsidRPr="005510D7" w:rsidRDefault="005510D7" w:rsidP="005510D7">
            <w:pPr>
              <w:spacing w:before="100"/>
              <w:jc w:val="both"/>
              <w:rPr>
                <w:iCs/>
                <w:color w:val="000000"/>
                <w:lang w:val="bg-BG"/>
              </w:rPr>
            </w:pPr>
            <w:r w:rsidRPr="005510D7">
              <w:rPr>
                <w:iCs/>
                <w:color w:val="000000"/>
                <w:lang w:val="bg-BG"/>
              </w:rPr>
              <w:t>България участва като партньор в специфично действие ISF/2022/SA/2.2.1/012 CCH - ЕВРОПЕЙСКИ ОПЕРАТИВЕН ЕКИП Коста дел Сол и ISF/2022/SA/2.2.1/010 - Огнестрелно оръжие (TORO) с водеща държава членка Испания.</w:t>
            </w:r>
          </w:p>
          <w:p w14:paraId="7003F68A" w14:textId="77777777" w:rsidR="005510D7" w:rsidRPr="005510D7" w:rsidRDefault="005510D7" w:rsidP="005510D7">
            <w:pPr>
              <w:spacing w:before="100"/>
              <w:jc w:val="both"/>
              <w:rPr>
                <w:b/>
                <w:iCs/>
                <w:color w:val="000000"/>
                <w:lang w:val="bg-BG"/>
              </w:rPr>
            </w:pPr>
          </w:p>
          <w:p w14:paraId="63160BBC" w14:textId="10D17055" w:rsidR="005510D7" w:rsidRPr="005510D7" w:rsidRDefault="00167BEC" w:rsidP="005510D7">
            <w:pPr>
              <w:spacing w:before="100"/>
              <w:jc w:val="both"/>
              <w:rPr>
                <w:b/>
                <w:iCs/>
                <w:color w:val="000000"/>
                <w:lang w:val="bg-BG"/>
              </w:rPr>
            </w:pPr>
            <w:r>
              <w:rPr>
                <w:b/>
                <w:iCs/>
                <w:color w:val="000000"/>
              </w:rPr>
              <w:t xml:space="preserve">- </w:t>
            </w:r>
            <w:r w:rsidR="005510D7" w:rsidRPr="005510D7">
              <w:rPr>
                <w:b/>
                <w:iCs/>
                <w:color w:val="000000"/>
                <w:lang w:val="bg-BG"/>
              </w:rPr>
              <w:t>Очаквани резултати:</w:t>
            </w:r>
          </w:p>
          <w:p w14:paraId="5FCD1206" w14:textId="77777777" w:rsidR="005510D7" w:rsidRPr="005510D7" w:rsidRDefault="005510D7" w:rsidP="005510D7">
            <w:pPr>
              <w:spacing w:before="100"/>
              <w:jc w:val="both"/>
              <w:rPr>
                <w:iCs/>
                <w:color w:val="000000"/>
                <w:lang w:val="bg-BG"/>
              </w:rPr>
            </w:pPr>
            <w:r w:rsidRPr="005510D7">
              <w:rPr>
                <w:iCs/>
                <w:color w:val="000000"/>
                <w:lang w:val="bg-BG"/>
              </w:rPr>
              <w:t>- активно участие в съвместни екипи за разследване и трансграничното полицейско сътрудничество в рамките на Европейската структурирана мултидисциплинарна платформа за борба с криминални заплахи (EMPACT);</w:t>
            </w:r>
          </w:p>
          <w:p w14:paraId="59394B24" w14:textId="77777777" w:rsidR="005510D7" w:rsidRPr="005510D7" w:rsidRDefault="005510D7" w:rsidP="005510D7">
            <w:pPr>
              <w:spacing w:before="100"/>
              <w:jc w:val="both"/>
              <w:rPr>
                <w:iCs/>
                <w:color w:val="000000"/>
                <w:lang w:val="bg-BG"/>
              </w:rPr>
            </w:pPr>
            <w:r w:rsidRPr="005510D7">
              <w:rPr>
                <w:iCs/>
                <w:color w:val="000000"/>
                <w:lang w:val="bg-BG"/>
              </w:rPr>
              <w:lastRenderedPageBreak/>
              <w:t>- подобрена координация и взаимодействие и по-бърз обмен на опит, ноу-хау и информация, свързани с съвместните разследвания на тежката и организирана престъпност, включително престъпления, свързани с превозни средства и корупция;</w:t>
            </w:r>
          </w:p>
          <w:p w14:paraId="0604918D" w14:textId="77777777" w:rsidR="005510D7" w:rsidRPr="005510D7" w:rsidRDefault="005510D7" w:rsidP="005510D7">
            <w:pPr>
              <w:spacing w:before="100"/>
              <w:jc w:val="both"/>
              <w:rPr>
                <w:iCs/>
                <w:color w:val="000000"/>
                <w:lang w:val="bg-BG"/>
              </w:rPr>
            </w:pPr>
            <w:r w:rsidRPr="005510D7">
              <w:rPr>
                <w:iCs/>
                <w:color w:val="000000"/>
                <w:lang w:val="bg-BG"/>
              </w:rPr>
              <w:t>- повишено доверие на национално и наднационално ниво с партньорски правоприлагащи органи;</w:t>
            </w:r>
          </w:p>
          <w:p w14:paraId="78509028" w14:textId="77777777" w:rsidR="005510D7" w:rsidRPr="005510D7" w:rsidRDefault="005510D7" w:rsidP="005510D7">
            <w:pPr>
              <w:spacing w:before="100"/>
              <w:jc w:val="both"/>
              <w:rPr>
                <w:iCs/>
                <w:color w:val="000000"/>
                <w:lang w:val="bg-BG"/>
              </w:rPr>
            </w:pPr>
            <w:r w:rsidRPr="005510D7">
              <w:rPr>
                <w:iCs/>
                <w:color w:val="000000"/>
                <w:lang w:val="bg-BG"/>
              </w:rPr>
              <w:t>- повишен брой на международните операции, водещи до увеличен брой разкрити и пресечени организирани престъпни групи;</w:t>
            </w:r>
          </w:p>
          <w:p w14:paraId="45B748BD" w14:textId="77777777" w:rsidR="005510D7" w:rsidRPr="005510D7" w:rsidRDefault="005510D7" w:rsidP="005510D7">
            <w:pPr>
              <w:spacing w:before="100"/>
              <w:jc w:val="both"/>
              <w:rPr>
                <w:iCs/>
                <w:color w:val="000000"/>
                <w:lang w:val="bg-BG"/>
              </w:rPr>
            </w:pPr>
            <w:r w:rsidRPr="005510D7">
              <w:rPr>
                <w:iCs/>
                <w:color w:val="000000"/>
                <w:lang w:val="bg-BG"/>
              </w:rPr>
              <w:t>- осигурено високо ниво на сигурност в провеждането на трансгранични съвместни операции и повишена ефикасност в разследването на корупцията в граничните зони.</w:t>
            </w:r>
          </w:p>
          <w:p w14:paraId="236E5E64" w14:textId="77777777" w:rsidR="005510D7" w:rsidRPr="005510D7" w:rsidRDefault="005510D7" w:rsidP="005510D7">
            <w:pPr>
              <w:spacing w:before="100"/>
              <w:jc w:val="both"/>
              <w:rPr>
                <w:iCs/>
                <w:color w:val="000000"/>
                <w:lang w:val="bg-BG"/>
              </w:rPr>
            </w:pPr>
            <w:r w:rsidRPr="005510D7">
              <w:rPr>
                <w:iCs/>
                <w:color w:val="000000"/>
                <w:lang w:val="bg-BG"/>
              </w:rPr>
              <w:t>За да се гарантира постигането на специфичната цел, ще се търсят и използват също така национален бюджет и други източници на финансиране. По-специално ГДБОП изпълнява проект, финансиран по линия на безвъзмездните средства на Европол с висока стойност, и възнамерява да поиска целево краткосрочно финансиране за дейностите на оперативния план за действие, които имат ясно изразен оперативен характер, по линия на безвъзмездните средства с ниска стойност, в случай че възникне оперативна необходимост.</w:t>
            </w:r>
          </w:p>
          <w:p w14:paraId="5C27F319" w14:textId="77777777" w:rsidR="005510D7" w:rsidRPr="005510D7" w:rsidRDefault="005510D7" w:rsidP="005510D7">
            <w:pPr>
              <w:spacing w:before="100"/>
              <w:jc w:val="both"/>
              <w:rPr>
                <w:b/>
                <w:iCs/>
                <w:color w:val="000000"/>
                <w:lang w:val="bg-BG"/>
              </w:rPr>
            </w:pPr>
            <w:r w:rsidRPr="005510D7">
              <w:rPr>
                <w:b/>
                <w:iCs/>
                <w:color w:val="000000"/>
                <w:lang w:val="bg-BG"/>
              </w:rPr>
              <w:t>Оперативна подкрепа</w:t>
            </w:r>
          </w:p>
          <w:p w14:paraId="03A5FEF2" w14:textId="77777777" w:rsidR="005510D7" w:rsidRPr="005510D7" w:rsidRDefault="005510D7" w:rsidP="005510D7">
            <w:pPr>
              <w:spacing w:before="100"/>
              <w:jc w:val="both"/>
              <w:rPr>
                <w:iCs/>
                <w:color w:val="000000"/>
                <w:lang w:val="bg-BG"/>
              </w:rPr>
            </w:pPr>
            <w:r w:rsidRPr="005510D7">
              <w:rPr>
                <w:iCs/>
                <w:color w:val="000000"/>
                <w:lang w:val="bg-BG"/>
              </w:rPr>
              <w:t>Предвижда се да бъде предоставена оперативна подкрепа за ГДБОП-МВР във връзка с изпълнявани задачи и услуги, които представляват обществена услуга за ЕС: главната дирекция е националната специализирана полицейска структура за борба с организираната престъпност, извършвана от местни и транснационални престъпни групи; участва в ЕМРАСТ, включително в изпълнението на ОАП; изпълнява функциите на специализиран център за борба с киберпрестъпността на национално равнище и др.</w:t>
            </w:r>
          </w:p>
          <w:p w14:paraId="12323CDE" w14:textId="77777777" w:rsidR="005510D7" w:rsidRPr="005510D7" w:rsidRDefault="005510D7" w:rsidP="005510D7">
            <w:pPr>
              <w:spacing w:before="100"/>
              <w:jc w:val="both"/>
              <w:rPr>
                <w:iCs/>
                <w:color w:val="000000"/>
                <w:lang w:val="bg-BG"/>
              </w:rPr>
            </w:pPr>
            <w:r w:rsidRPr="005510D7">
              <w:rPr>
                <w:iCs/>
                <w:color w:val="000000"/>
                <w:lang w:val="bg-BG"/>
              </w:rPr>
              <w:t>Оперативна подкрепа би могла да бъде предоставена на:</w:t>
            </w:r>
          </w:p>
          <w:p w14:paraId="2C55D7E8" w14:textId="77777777" w:rsidR="005510D7" w:rsidRPr="005510D7" w:rsidRDefault="005510D7" w:rsidP="005510D7">
            <w:pPr>
              <w:spacing w:before="100"/>
              <w:jc w:val="both"/>
              <w:rPr>
                <w:iCs/>
                <w:color w:val="000000"/>
                <w:lang w:val="bg-BG"/>
              </w:rPr>
            </w:pPr>
            <w:r w:rsidRPr="005510D7">
              <w:rPr>
                <w:iCs/>
                <w:color w:val="000000"/>
                <w:lang w:val="bg-BG"/>
              </w:rPr>
              <w:t>- дирекция „Вътрешна сигурност“ към МВР, която е единственият орган с компетентност по превенция, пресичане и разкриване на престъпления, извършени от служители на министерството, и с правомощия да разработва и прилага мерки за борба с корупцията в полицейските структури. Дирекцията има координиращи функции на национално ниво по отношение на борбата с измамите, корупцията и други престъпления, извършени от служители на МВР.</w:t>
            </w:r>
          </w:p>
          <w:p w14:paraId="7448AF27" w14:textId="77777777" w:rsidR="005510D7" w:rsidRPr="005510D7" w:rsidRDefault="005510D7" w:rsidP="005510D7">
            <w:pPr>
              <w:spacing w:before="100"/>
              <w:jc w:val="both"/>
              <w:rPr>
                <w:iCs/>
                <w:color w:val="000000"/>
                <w:lang w:val="bg-BG"/>
              </w:rPr>
            </w:pPr>
            <w:r w:rsidRPr="005510D7">
              <w:rPr>
                <w:iCs/>
                <w:color w:val="000000"/>
                <w:lang w:val="bg-BG"/>
              </w:rPr>
              <w:t>- дирекция „Международно оперативно сътрудничество“ в МВР, която е националната точка за контакт за Интерпол, Европол и ШИС.</w:t>
            </w:r>
          </w:p>
          <w:p w14:paraId="23745D23" w14:textId="77777777" w:rsidR="00A77B3E" w:rsidRPr="005510D7" w:rsidRDefault="005510D7" w:rsidP="005510D7">
            <w:pPr>
              <w:spacing w:before="100"/>
              <w:jc w:val="both"/>
              <w:rPr>
                <w:color w:val="000000"/>
                <w:lang w:val="bg-BG"/>
              </w:rPr>
            </w:pPr>
            <w:r w:rsidRPr="005510D7">
              <w:rPr>
                <w:iCs/>
                <w:color w:val="000000"/>
                <w:lang w:val="bg-BG"/>
              </w:rPr>
              <w:t>Оперативната подкрепа ще покрива: поддръжка на техническо оборудване и транспортни средства.</w:t>
            </w:r>
          </w:p>
        </w:tc>
      </w:tr>
    </w:tbl>
    <w:p w14:paraId="0258D688" w14:textId="77777777" w:rsidR="00A77B3E" w:rsidRPr="005510D7" w:rsidRDefault="00A77B3E">
      <w:pPr>
        <w:spacing w:before="100"/>
        <w:rPr>
          <w:color w:val="000000"/>
          <w:lang w:val="bg-BG"/>
        </w:rPr>
        <w:sectPr w:rsidR="00A77B3E" w:rsidRPr="005510D7">
          <w:headerReference w:type="even" r:id="rId29"/>
          <w:headerReference w:type="default" r:id="rId30"/>
          <w:footerReference w:type="even" r:id="rId31"/>
          <w:footerReference w:type="default" r:id="rId32"/>
          <w:headerReference w:type="first" r:id="rId33"/>
          <w:footerReference w:type="first" r:id="rId34"/>
          <w:pgSz w:w="11906" w:h="16838"/>
          <w:pgMar w:top="720" w:right="936" w:bottom="864" w:left="720" w:header="0" w:footer="72" w:gutter="0"/>
          <w:cols w:space="720"/>
          <w:noEndnote/>
          <w:docGrid w:linePitch="360"/>
        </w:sectPr>
      </w:pPr>
    </w:p>
    <w:p w14:paraId="252ADCD9" w14:textId="77777777" w:rsidR="00A77B3E" w:rsidRPr="005510D7" w:rsidRDefault="00E62050">
      <w:pPr>
        <w:spacing w:before="100"/>
        <w:rPr>
          <w:color w:val="000000"/>
          <w:lang w:val="bg-BG"/>
        </w:rPr>
      </w:pPr>
      <w:r w:rsidRPr="005510D7">
        <w:rPr>
          <w:color w:val="000000"/>
          <w:lang w:val="bg-BG"/>
        </w:rPr>
        <w:lastRenderedPageBreak/>
        <w:t xml:space="preserve">2.1. </w:t>
      </w:r>
      <w:r w:rsidR="005510D7" w:rsidRPr="005510D7">
        <w:rPr>
          <w:color w:val="000000"/>
          <w:lang w:val="bg-BG"/>
        </w:rPr>
        <w:t>Специфична цел 2: Трансгранично сътрудничество</w:t>
      </w:r>
    </w:p>
    <w:p w14:paraId="78674893" w14:textId="77777777" w:rsidR="00A77B3E" w:rsidRPr="005510D7" w:rsidRDefault="00E62050">
      <w:pPr>
        <w:pStyle w:val="Heading3"/>
        <w:spacing w:before="100" w:after="0"/>
        <w:rPr>
          <w:rFonts w:ascii="Times New Roman" w:hAnsi="Times New Roman" w:cs="Times New Roman"/>
          <w:b w:val="0"/>
          <w:color w:val="000000"/>
          <w:sz w:val="24"/>
          <w:lang w:val="bg-BG"/>
        </w:rPr>
      </w:pPr>
      <w:bookmarkStart w:id="12" w:name="_Toc129599285"/>
      <w:r w:rsidRPr="005510D7">
        <w:rPr>
          <w:rFonts w:ascii="Times New Roman" w:hAnsi="Times New Roman" w:cs="Times New Roman"/>
          <w:b w:val="0"/>
          <w:color w:val="000000"/>
          <w:sz w:val="24"/>
          <w:lang w:val="bg-BG"/>
        </w:rPr>
        <w:t xml:space="preserve">2.1.2. </w:t>
      </w:r>
      <w:bookmarkStart w:id="13" w:name="_Toc129347888"/>
      <w:r w:rsidR="005510D7" w:rsidRPr="005510D7">
        <w:rPr>
          <w:rFonts w:ascii="Times New Roman" w:hAnsi="Times New Roman" w:cs="Times New Roman"/>
          <w:b w:val="0"/>
          <w:color w:val="000000"/>
          <w:sz w:val="24"/>
          <w:lang w:val="bg-BG"/>
        </w:rPr>
        <w:t>Показатели</w:t>
      </w:r>
      <w:bookmarkEnd w:id="12"/>
      <w:bookmarkEnd w:id="13"/>
    </w:p>
    <w:p w14:paraId="2D5814C8" w14:textId="77777777" w:rsidR="00A77B3E" w:rsidRPr="005510D7" w:rsidRDefault="005510D7">
      <w:pPr>
        <w:spacing w:before="100"/>
        <w:rPr>
          <w:color w:val="000000"/>
          <w:sz w:val="12"/>
          <w:lang w:val="bg-BG"/>
        </w:rPr>
      </w:pPr>
      <w:r w:rsidRPr="005510D7">
        <w:rPr>
          <w:color w:val="000000"/>
          <w:lang w:val="bg-BG"/>
        </w:rPr>
        <w:t>Основание: член 22, параграф 4, буква д) от РОР</w:t>
      </w:r>
    </w:p>
    <w:p w14:paraId="27220D5B" w14:textId="77777777" w:rsidR="00A77B3E" w:rsidRDefault="005510D7">
      <w:pPr>
        <w:pStyle w:val="Heading4"/>
        <w:spacing w:before="100" w:after="0"/>
        <w:rPr>
          <w:b w:val="0"/>
          <w:color w:val="000000"/>
          <w:sz w:val="24"/>
          <w:lang w:val="bg-BG"/>
        </w:rPr>
      </w:pPr>
      <w:bookmarkStart w:id="14" w:name="_Toc129599286"/>
      <w:r w:rsidRPr="005510D7">
        <w:rPr>
          <w:b w:val="0"/>
          <w:color w:val="000000"/>
          <w:sz w:val="24"/>
          <w:lang w:val="bg-BG"/>
        </w:rPr>
        <w:t>Таблица 1: Показатели за крайния продукт</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6916"/>
        <w:gridCol w:w="1479"/>
        <w:gridCol w:w="2206"/>
        <w:gridCol w:w="2369"/>
      </w:tblGrid>
      <w:tr w:rsidR="005510D7" w14:paraId="4912AB96" w14:textId="77777777" w:rsidTr="00235B8B">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672796" w14:textId="77777777" w:rsidR="005510D7" w:rsidRDefault="005510D7" w:rsidP="00235B8B">
            <w:pPr>
              <w:spacing w:before="100"/>
              <w:jc w:val="center"/>
              <w:rPr>
                <w:color w:val="000000"/>
                <w:sz w:val="20"/>
              </w:rPr>
            </w:pPr>
            <w:r w:rsidRPr="00BC44C5">
              <w:rPr>
                <w:sz w:val="20"/>
              </w:rPr>
              <w:t>Идентификационен код</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6682ED" w14:textId="77777777" w:rsidR="005510D7" w:rsidRDefault="005510D7" w:rsidP="00235B8B">
            <w:pPr>
              <w:spacing w:before="100"/>
              <w:jc w:val="center"/>
              <w:rPr>
                <w:color w:val="000000"/>
                <w:sz w:val="20"/>
              </w:rPr>
            </w:pPr>
            <w:r>
              <w:rPr>
                <w:color w:val="000000"/>
                <w:sz w:val="20"/>
              </w:rPr>
              <w:t>Показател</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B9AB58" w14:textId="77777777" w:rsidR="005510D7" w:rsidRDefault="005510D7" w:rsidP="00235B8B">
            <w:pPr>
              <w:spacing w:before="100"/>
              <w:jc w:val="center"/>
              <w:rPr>
                <w:color w:val="000000"/>
                <w:sz w:val="20"/>
              </w:rPr>
            </w:pPr>
            <w:r>
              <w:rPr>
                <w:color w:val="000000"/>
                <w:sz w:val="20"/>
              </w:rPr>
              <w:t>Мерна единица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EF2284" w14:textId="77777777" w:rsidR="005510D7" w:rsidRDefault="005510D7" w:rsidP="00235B8B">
            <w:pPr>
              <w:spacing w:before="100"/>
              <w:jc w:val="center"/>
              <w:rPr>
                <w:color w:val="000000"/>
                <w:sz w:val="20"/>
              </w:rPr>
            </w:pPr>
            <w:r>
              <w:rPr>
                <w:color w:val="000000"/>
                <w:sz w:val="20"/>
              </w:rPr>
              <w:t>М</w:t>
            </w:r>
            <w:r w:rsidRPr="00BC44C5">
              <w:rPr>
                <w:color w:val="000000"/>
                <w:sz w:val="20"/>
              </w:rPr>
              <w:t xml:space="preserve">еждинна цел </w:t>
            </w:r>
            <w:r>
              <w:rPr>
                <w:color w:val="000000"/>
                <w:sz w:val="20"/>
              </w:rPr>
              <w:t>(2024 г.)</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0BE9BC" w14:textId="77777777" w:rsidR="005510D7" w:rsidRDefault="005510D7" w:rsidP="00235B8B">
            <w:pPr>
              <w:spacing w:before="100"/>
              <w:jc w:val="center"/>
              <w:rPr>
                <w:color w:val="000000"/>
                <w:sz w:val="20"/>
              </w:rPr>
            </w:pPr>
            <w:r>
              <w:rPr>
                <w:color w:val="000000"/>
                <w:sz w:val="20"/>
              </w:rPr>
              <w:t>Ц</w:t>
            </w:r>
            <w:r w:rsidRPr="00BC44C5">
              <w:rPr>
                <w:color w:val="000000"/>
                <w:sz w:val="20"/>
              </w:rPr>
              <w:t xml:space="preserve">елева стойност </w:t>
            </w:r>
            <w:r>
              <w:rPr>
                <w:color w:val="000000"/>
                <w:sz w:val="20"/>
              </w:rPr>
              <w:t>(2029 г.)</w:t>
            </w:r>
          </w:p>
        </w:tc>
      </w:tr>
      <w:tr w:rsidR="005510D7" w14:paraId="1AF069B0"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4D6E9C" w14:textId="77777777" w:rsidR="005510D7" w:rsidRDefault="005510D7" w:rsidP="00235B8B">
            <w:pPr>
              <w:spacing w:before="100"/>
              <w:rPr>
                <w:color w:val="000000"/>
                <w:sz w:val="20"/>
              </w:rPr>
            </w:pPr>
            <w:r>
              <w:rPr>
                <w:color w:val="000000"/>
                <w:sz w:val="20"/>
              </w:rPr>
              <w:t>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993DB2" w14:textId="77777777" w:rsidR="005510D7" w:rsidRDefault="005510D7" w:rsidP="00235B8B">
            <w:pPr>
              <w:spacing w:before="100"/>
              <w:rPr>
                <w:color w:val="000000"/>
                <w:sz w:val="20"/>
              </w:rPr>
            </w:pPr>
            <w:r w:rsidRPr="00044B4C">
              <w:rPr>
                <w:color w:val="000000"/>
                <w:sz w:val="20"/>
              </w:rPr>
              <w:t>Брой трансгранични операции, отделно посочващи</w:t>
            </w:r>
            <w:r>
              <w:rPr>
                <w:color w:val="000000"/>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E0CC94" w14:textId="77777777" w:rsidR="005510D7" w:rsidRDefault="005510D7" w:rsidP="00235B8B">
            <w:pPr>
              <w:spacing w:before="100"/>
              <w:rPr>
                <w:color w:val="000000"/>
                <w:sz w:val="20"/>
              </w:rPr>
            </w:pPr>
            <w:r>
              <w:rPr>
                <w:color w:val="000000"/>
                <w:sz w:val="20"/>
              </w:rPr>
              <w:t>брой</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15076F" w14:textId="77777777" w:rsidR="005510D7" w:rsidRDefault="005510D7" w:rsidP="00235B8B">
            <w:pPr>
              <w:spacing w:before="100"/>
              <w:jc w:val="right"/>
              <w:rPr>
                <w:color w:val="000000"/>
                <w:sz w:val="20"/>
              </w:rPr>
            </w:pPr>
            <w:r>
              <w:rPr>
                <w:color w:val="000000"/>
                <w:sz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CAF39C" w14:textId="77777777" w:rsidR="005510D7" w:rsidRDefault="005510D7" w:rsidP="00235B8B">
            <w:pPr>
              <w:spacing w:before="100"/>
              <w:jc w:val="right"/>
              <w:rPr>
                <w:color w:val="000000"/>
                <w:sz w:val="20"/>
              </w:rPr>
            </w:pPr>
            <w:r>
              <w:rPr>
                <w:color w:val="000000"/>
                <w:sz w:val="20"/>
              </w:rPr>
              <w:t>29</w:t>
            </w:r>
          </w:p>
        </w:tc>
      </w:tr>
      <w:tr w:rsidR="005510D7" w14:paraId="7FD26CEB"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133964" w14:textId="77777777" w:rsidR="005510D7" w:rsidRDefault="005510D7" w:rsidP="00235B8B">
            <w:pPr>
              <w:spacing w:before="100"/>
              <w:rPr>
                <w:color w:val="000000"/>
                <w:sz w:val="20"/>
              </w:rPr>
            </w:pPr>
            <w:r>
              <w:rPr>
                <w:color w:val="000000"/>
                <w:sz w:val="20"/>
              </w:rPr>
              <w:t>O.2.1.1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8D6A80" w14:textId="77777777" w:rsidR="005510D7" w:rsidRDefault="005510D7" w:rsidP="00235B8B">
            <w:pPr>
              <w:spacing w:before="100"/>
              <w:rPr>
                <w:color w:val="000000"/>
                <w:sz w:val="20"/>
              </w:rPr>
            </w:pPr>
            <w:r>
              <w:rPr>
                <w:color w:val="000000"/>
                <w:sz w:val="20"/>
              </w:rPr>
              <w:t>-</w:t>
            </w:r>
            <w:r w:rsidRPr="00044B4C">
              <w:rPr>
                <w:color w:val="000000"/>
                <w:sz w:val="20"/>
              </w:rPr>
              <w:t>брой на съвместните разследващи екипи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3B7AAF" w14:textId="77777777" w:rsidR="005510D7" w:rsidRDefault="005510D7" w:rsidP="00235B8B">
            <w:pPr>
              <w:spacing w:before="100"/>
              <w:rPr>
                <w:color w:val="000000"/>
                <w:sz w:val="20"/>
              </w:rPr>
            </w:pPr>
            <w:r>
              <w:rPr>
                <w:color w:val="000000"/>
                <w:sz w:val="20"/>
              </w:rPr>
              <w:t>брой</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DE384E" w14:textId="77777777" w:rsidR="005510D7" w:rsidRPr="00F25C40" w:rsidRDefault="005510D7" w:rsidP="00235B8B">
            <w:pPr>
              <w:spacing w:before="100"/>
              <w:jc w:val="right"/>
              <w:rPr>
                <w:color w:val="000000"/>
                <w:sz w:val="20"/>
              </w:rPr>
            </w:pPr>
            <w:r>
              <w:rPr>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22F309" w14:textId="77777777" w:rsidR="005510D7" w:rsidRPr="00F25C40" w:rsidRDefault="005510D7" w:rsidP="00235B8B">
            <w:pPr>
              <w:spacing w:before="100"/>
              <w:jc w:val="right"/>
              <w:rPr>
                <w:color w:val="000000"/>
                <w:sz w:val="20"/>
              </w:rPr>
            </w:pPr>
            <w:r>
              <w:rPr>
                <w:color w:val="000000"/>
                <w:sz w:val="20"/>
              </w:rPr>
              <w:t>6</w:t>
            </w:r>
          </w:p>
        </w:tc>
      </w:tr>
      <w:tr w:rsidR="005510D7" w14:paraId="36B0FC30"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A96C9B" w14:textId="77777777" w:rsidR="005510D7" w:rsidRDefault="005510D7" w:rsidP="00235B8B">
            <w:pPr>
              <w:spacing w:before="100"/>
              <w:rPr>
                <w:color w:val="000000"/>
                <w:sz w:val="20"/>
              </w:rPr>
            </w:pPr>
            <w:r>
              <w:rPr>
                <w:color w:val="000000"/>
                <w:sz w:val="20"/>
              </w:rPr>
              <w:t>O.2.1.2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B84C40" w14:textId="77777777" w:rsidR="005510D7" w:rsidRDefault="005510D7" w:rsidP="00235B8B">
            <w:pPr>
              <w:spacing w:before="100"/>
              <w:rPr>
                <w:color w:val="000000"/>
                <w:sz w:val="20"/>
              </w:rPr>
            </w:pPr>
            <w:r>
              <w:rPr>
                <w:color w:val="000000"/>
                <w:sz w:val="20"/>
              </w:rPr>
              <w:t>-бр</w:t>
            </w:r>
            <w:r w:rsidRPr="00044B4C">
              <w:rPr>
                <w:color w:val="000000"/>
                <w:sz w:val="20"/>
              </w:rPr>
              <w:t>ой на оперативните действия по цикъла на политиката на ЕС/EMPACT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521A33" w14:textId="77777777" w:rsidR="005510D7" w:rsidRDefault="005510D7" w:rsidP="00235B8B">
            <w:pPr>
              <w:spacing w:before="100"/>
              <w:rPr>
                <w:color w:val="000000"/>
                <w:sz w:val="20"/>
              </w:rPr>
            </w:pPr>
            <w:r>
              <w:rPr>
                <w:color w:val="000000"/>
                <w:sz w:val="20"/>
              </w:rPr>
              <w:t>брой</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C4068B" w14:textId="77777777" w:rsidR="005510D7" w:rsidRDefault="005510D7" w:rsidP="00235B8B">
            <w:pPr>
              <w:spacing w:before="100"/>
              <w:jc w:val="right"/>
              <w:rPr>
                <w:color w:val="000000"/>
                <w:sz w:val="20"/>
              </w:rPr>
            </w:pPr>
            <w:r>
              <w:rPr>
                <w:color w:val="000000"/>
                <w:sz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3BF19E" w14:textId="77777777" w:rsidR="005510D7" w:rsidRDefault="005510D7" w:rsidP="00235B8B">
            <w:pPr>
              <w:spacing w:before="100"/>
              <w:jc w:val="right"/>
              <w:rPr>
                <w:color w:val="000000"/>
                <w:sz w:val="20"/>
              </w:rPr>
            </w:pPr>
            <w:r>
              <w:rPr>
                <w:color w:val="000000"/>
                <w:sz w:val="20"/>
              </w:rPr>
              <w:t>14</w:t>
            </w:r>
          </w:p>
        </w:tc>
      </w:tr>
      <w:tr w:rsidR="005510D7" w14:paraId="2E3BA0A0"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C78359" w14:textId="77777777" w:rsidR="005510D7" w:rsidRDefault="005510D7" w:rsidP="00235B8B">
            <w:pPr>
              <w:spacing w:before="100"/>
              <w:rPr>
                <w:color w:val="000000"/>
                <w:sz w:val="20"/>
              </w:rPr>
            </w:pPr>
            <w:r>
              <w:rPr>
                <w:color w:val="000000"/>
                <w:sz w:val="20"/>
              </w:rPr>
              <w:t>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06B2DF" w14:textId="77777777" w:rsidR="005510D7" w:rsidRDefault="005510D7" w:rsidP="00235B8B">
            <w:pPr>
              <w:spacing w:before="100"/>
              <w:rPr>
                <w:color w:val="000000"/>
                <w:sz w:val="20"/>
              </w:rPr>
            </w:pPr>
            <w:r w:rsidRPr="00044B4C">
              <w:rPr>
                <w:color w:val="000000"/>
                <w:sz w:val="20"/>
              </w:rPr>
              <w:t>Брой експертни срещи/семинари/проучвателни посещения/съвместни учения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08B7B5" w14:textId="77777777" w:rsidR="005510D7" w:rsidRDefault="005510D7" w:rsidP="00235B8B">
            <w:pPr>
              <w:spacing w:before="100"/>
              <w:rPr>
                <w:color w:val="000000"/>
                <w:sz w:val="20"/>
              </w:rPr>
            </w:pPr>
            <w:r>
              <w:rPr>
                <w:color w:val="000000"/>
                <w:sz w:val="20"/>
              </w:rPr>
              <w:t>брой</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7C520E" w14:textId="77777777" w:rsidR="005510D7" w:rsidRPr="00F25C40" w:rsidRDefault="005510D7" w:rsidP="00235B8B">
            <w:pPr>
              <w:spacing w:before="100"/>
              <w:jc w:val="right"/>
              <w:rPr>
                <w:color w:val="000000"/>
                <w:sz w:val="20"/>
              </w:rPr>
            </w:pPr>
            <w:r>
              <w:rPr>
                <w:color w:val="000000"/>
                <w:sz w:val="2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649884" w14:textId="77777777" w:rsidR="005510D7" w:rsidRPr="00F25C40" w:rsidRDefault="005510D7" w:rsidP="00235B8B">
            <w:pPr>
              <w:spacing w:before="100"/>
              <w:jc w:val="right"/>
              <w:rPr>
                <w:color w:val="000000"/>
                <w:sz w:val="20"/>
              </w:rPr>
            </w:pPr>
            <w:r>
              <w:rPr>
                <w:color w:val="000000"/>
                <w:sz w:val="20"/>
              </w:rPr>
              <w:t>54</w:t>
            </w:r>
          </w:p>
        </w:tc>
      </w:tr>
      <w:tr w:rsidR="005510D7" w14:paraId="5CE00E11"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8DD518" w14:textId="77777777" w:rsidR="005510D7" w:rsidRDefault="005510D7" w:rsidP="00235B8B">
            <w:pPr>
              <w:spacing w:before="100"/>
              <w:rPr>
                <w:color w:val="000000"/>
                <w:sz w:val="20"/>
              </w:rPr>
            </w:pPr>
            <w:r>
              <w:rPr>
                <w:color w:val="000000"/>
                <w:sz w:val="20"/>
              </w:rPr>
              <w:t>O.2.3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34E013" w14:textId="77777777" w:rsidR="005510D7" w:rsidRDefault="005510D7" w:rsidP="00235B8B">
            <w:pPr>
              <w:spacing w:before="100"/>
              <w:rPr>
                <w:color w:val="000000"/>
                <w:sz w:val="20"/>
              </w:rPr>
            </w:pPr>
            <w:r w:rsidRPr="00044B4C">
              <w:rPr>
                <w:color w:val="000000"/>
                <w:sz w:val="20"/>
              </w:rPr>
              <w:t>Брой закупени единици оборудване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84F106" w14:textId="77777777" w:rsidR="005510D7" w:rsidRDefault="005510D7" w:rsidP="00235B8B">
            <w:pPr>
              <w:spacing w:before="100"/>
              <w:rPr>
                <w:color w:val="000000"/>
                <w:sz w:val="20"/>
              </w:rPr>
            </w:pPr>
            <w:r>
              <w:rPr>
                <w:color w:val="000000"/>
                <w:sz w:val="20"/>
              </w:rPr>
              <w:t>брой</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1F4EE5" w14:textId="77777777" w:rsidR="005510D7" w:rsidRPr="00F25C40" w:rsidRDefault="005510D7" w:rsidP="00235B8B">
            <w:pPr>
              <w:spacing w:before="100"/>
              <w:jc w:val="right"/>
              <w:rPr>
                <w:color w:val="000000"/>
                <w:sz w:val="20"/>
              </w:rPr>
            </w:pPr>
            <w:r>
              <w:rPr>
                <w:color w:val="000000"/>
                <w:sz w:val="20"/>
              </w:rPr>
              <w:t>390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226741" w14:textId="77777777" w:rsidR="005510D7" w:rsidRPr="00F25C40" w:rsidRDefault="005510D7" w:rsidP="00235B8B">
            <w:pPr>
              <w:spacing w:before="100"/>
              <w:jc w:val="right"/>
              <w:rPr>
                <w:color w:val="000000"/>
                <w:sz w:val="20"/>
              </w:rPr>
            </w:pPr>
            <w:r>
              <w:rPr>
                <w:color w:val="000000"/>
                <w:sz w:val="20"/>
              </w:rPr>
              <w:t>895</w:t>
            </w:r>
          </w:p>
        </w:tc>
      </w:tr>
      <w:tr w:rsidR="005510D7" w14:paraId="7D3F19A9"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8879C5" w14:textId="77777777" w:rsidR="005510D7" w:rsidRDefault="005510D7" w:rsidP="00235B8B">
            <w:pPr>
              <w:spacing w:before="100"/>
              <w:rPr>
                <w:color w:val="000000"/>
                <w:sz w:val="20"/>
              </w:rPr>
            </w:pPr>
            <w:r>
              <w:rPr>
                <w:color w:val="000000"/>
                <w:sz w:val="20"/>
              </w:rPr>
              <w:t>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B43B02" w14:textId="77777777" w:rsidR="005510D7" w:rsidRDefault="005510D7" w:rsidP="00235B8B">
            <w:pPr>
              <w:spacing w:before="100"/>
              <w:rPr>
                <w:color w:val="000000"/>
                <w:sz w:val="20"/>
              </w:rPr>
            </w:pPr>
            <w:r w:rsidRPr="00044B4C">
              <w:rPr>
                <w:color w:val="000000"/>
                <w:sz w:val="20"/>
              </w:rPr>
              <w:t>Брой транспортни средства, закупени за трансгранични операции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48774C" w14:textId="77777777" w:rsidR="005510D7" w:rsidRDefault="005510D7" w:rsidP="00235B8B">
            <w:pPr>
              <w:spacing w:before="100"/>
              <w:rPr>
                <w:color w:val="000000"/>
                <w:sz w:val="20"/>
              </w:rPr>
            </w:pPr>
            <w:r>
              <w:rPr>
                <w:color w:val="000000"/>
                <w:sz w:val="20"/>
              </w:rPr>
              <w:t>брой</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15619A" w14:textId="77777777" w:rsidR="005510D7" w:rsidRDefault="005510D7" w:rsidP="00235B8B">
            <w:pPr>
              <w:spacing w:before="100"/>
              <w:jc w:val="right"/>
              <w:rPr>
                <w:color w:val="000000"/>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4DF865" w14:textId="77777777" w:rsidR="005510D7" w:rsidRDefault="005510D7" w:rsidP="00235B8B">
            <w:pPr>
              <w:spacing w:before="100"/>
              <w:jc w:val="right"/>
              <w:rPr>
                <w:color w:val="000000"/>
                <w:sz w:val="20"/>
              </w:rPr>
            </w:pPr>
            <w:r>
              <w:rPr>
                <w:color w:val="000000"/>
                <w:sz w:val="20"/>
              </w:rPr>
              <w:t>42</w:t>
            </w:r>
          </w:p>
        </w:tc>
      </w:tr>
    </w:tbl>
    <w:p w14:paraId="78C86BE4" w14:textId="77777777" w:rsidR="00A77B3E" w:rsidRPr="005510D7" w:rsidRDefault="00A77B3E">
      <w:pPr>
        <w:spacing w:before="100"/>
        <w:rPr>
          <w:color w:val="000000"/>
          <w:sz w:val="0"/>
          <w:lang w:val="bg-BG"/>
        </w:rPr>
      </w:pPr>
    </w:p>
    <w:p w14:paraId="3BE001A4" w14:textId="77777777" w:rsidR="00A77B3E" w:rsidRPr="00085591" w:rsidRDefault="00E62050">
      <w:pPr>
        <w:spacing w:before="100"/>
        <w:rPr>
          <w:color w:val="000000"/>
          <w:lang w:val="bg-BG"/>
        </w:rPr>
      </w:pPr>
      <w:r w:rsidRPr="00085591">
        <w:rPr>
          <w:color w:val="000000"/>
          <w:sz w:val="20"/>
          <w:lang w:val="bg-BG"/>
        </w:rPr>
        <w:br w:type="page"/>
      </w:r>
      <w:r w:rsidRPr="00085591">
        <w:rPr>
          <w:color w:val="000000"/>
          <w:lang w:val="bg-BG"/>
        </w:rPr>
        <w:lastRenderedPageBreak/>
        <w:t xml:space="preserve">2.1. </w:t>
      </w:r>
      <w:r w:rsidR="00085591" w:rsidRPr="00085591">
        <w:rPr>
          <w:color w:val="000000"/>
          <w:lang w:val="bg-BG"/>
        </w:rPr>
        <w:t>Специфична цел 2: Трансгранично сътрудничество</w:t>
      </w:r>
    </w:p>
    <w:p w14:paraId="1BABB524" w14:textId="77777777" w:rsidR="00A77B3E" w:rsidRPr="00085591" w:rsidRDefault="00E62050">
      <w:pPr>
        <w:spacing w:before="100"/>
        <w:rPr>
          <w:color w:val="000000"/>
          <w:sz w:val="0"/>
          <w:lang w:val="bg-BG"/>
        </w:rPr>
      </w:pPr>
      <w:r w:rsidRPr="00085591">
        <w:rPr>
          <w:color w:val="000000"/>
          <w:lang w:val="bg-BG"/>
        </w:rPr>
        <w:t xml:space="preserve">2.1.2. </w:t>
      </w:r>
      <w:r w:rsidR="00085591" w:rsidRPr="00085591">
        <w:rPr>
          <w:color w:val="000000"/>
          <w:lang w:val="bg-BG"/>
        </w:rPr>
        <w:t>Показатели</w:t>
      </w:r>
    </w:p>
    <w:p w14:paraId="2550E146" w14:textId="77777777" w:rsidR="00A77B3E" w:rsidRPr="00085591" w:rsidRDefault="00085591">
      <w:pPr>
        <w:spacing w:before="100"/>
        <w:rPr>
          <w:color w:val="000000"/>
          <w:sz w:val="12"/>
          <w:lang w:val="bg-BG"/>
        </w:rPr>
      </w:pPr>
      <w:r w:rsidRPr="00085591">
        <w:rPr>
          <w:color w:val="000000"/>
          <w:lang w:val="bg-BG"/>
        </w:rPr>
        <w:t>Основание: член 22, параграф 4, буква д) от РОР</w:t>
      </w:r>
    </w:p>
    <w:p w14:paraId="2ADF00F0" w14:textId="77777777" w:rsidR="00A77B3E" w:rsidRDefault="00085591">
      <w:pPr>
        <w:pStyle w:val="Heading4"/>
        <w:spacing w:before="100" w:after="0"/>
        <w:rPr>
          <w:b w:val="0"/>
          <w:color w:val="000000"/>
          <w:sz w:val="24"/>
        </w:rPr>
      </w:pPr>
      <w:bookmarkStart w:id="15" w:name="_Toc129599287"/>
      <w:r w:rsidRPr="00085591">
        <w:rPr>
          <w:b w:val="0"/>
          <w:color w:val="000000"/>
          <w:sz w:val="24"/>
        </w:rPr>
        <w:t>Таблица 2: Показатели за резултата</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085591" w14:paraId="4DA31C78" w14:textId="77777777" w:rsidTr="00235B8B">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33CE1B" w14:textId="77777777" w:rsidR="00085591" w:rsidRDefault="00085591" w:rsidP="00235B8B">
            <w:pPr>
              <w:spacing w:before="100"/>
              <w:jc w:val="center"/>
              <w:rPr>
                <w:color w:val="000000"/>
                <w:sz w:val="20"/>
              </w:rPr>
            </w:pPr>
            <w:r w:rsidRPr="008902DE">
              <w:rPr>
                <w:sz w:val="20"/>
              </w:rPr>
              <w:t>Идентификационен код</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76B043" w14:textId="77777777" w:rsidR="00085591" w:rsidRDefault="00085591" w:rsidP="00235B8B">
            <w:pPr>
              <w:spacing w:before="100"/>
              <w:jc w:val="center"/>
              <w:rPr>
                <w:color w:val="000000"/>
                <w:sz w:val="20"/>
              </w:rPr>
            </w:pPr>
            <w:r w:rsidRPr="005468B1">
              <w:rPr>
                <w:color w:val="000000"/>
                <w:sz w:val="20"/>
              </w:rPr>
              <w:t>Показател</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54B4A3" w14:textId="77777777" w:rsidR="00085591" w:rsidRDefault="00085591" w:rsidP="00235B8B">
            <w:pPr>
              <w:spacing w:before="100"/>
              <w:jc w:val="center"/>
              <w:rPr>
                <w:color w:val="000000"/>
                <w:sz w:val="20"/>
              </w:rPr>
            </w:pPr>
            <w:r w:rsidRPr="005468B1">
              <w:rPr>
                <w:color w:val="000000"/>
                <w:sz w:val="20"/>
              </w:rPr>
              <w:t>Мерна единица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A290D4" w14:textId="77777777" w:rsidR="00085591" w:rsidRDefault="00085591" w:rsidP="00235B8B">
            <w:pPr>
              <w:spacing w:before="100"/>
              <w:jc w:val="center"/>
              <w:rPr>
                <w:color w:val="000000"/>
                <w:sz w:val="20"/>
              </w:rPr>
            </w:pPr>
            <w:r w:rsidRPr="00D3301A">
              <w:rPr>
                <w:color w:val="000000"/>
                <w:sz w:val="20"/>
              </w:rPr>
              <w:t>Базов</w:t>
            </w:r>
            <w:r>
              <w:rPr>
                <w:color w:val="000000"/>
                <w:sz w:val="20"/>
              </w:rPr>
              <w:t xml:space="preserve">а </w:t>
            </w:r>
            <w:r w:rsidRPr="00D3301A">
              <w:rPr>
                <w:color w:val="000000"/>
                <w:sz w:val="20"/>
              </w:rPr>
              <w:t>стойност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9AF706" w14:textId="77777777" w:rsidR="00085591" w:rsidRDefault="00085591" w:rsidP="00235B8B">
            <w:pPr>
              <w:spacing w:before="100"/>
              <w:jc w:val="center"/>
              <w:rPr>
                <w:color w:val="000000"/>
                <w:sz w:val="20"/>
              </w:rPr>
            </w:pPr>
            <w:r>
              <w:rPr>
                <w:color w:val="000000"/>
                <w:sz w:val="20"/>
              </w:rPr>
              <w:t>Мерна единица за базовата стойност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036B23" w14:textId="77777777" w:rsidR="00085591" w:rsidRDefault="00085591" w:rsidP="00235B8B">
            <w:pPr>
              <w:spacing w:before="100"/>
              <w:jc w:val="center"/>
              <w:rPr>
                <w:color w:val="000000"/>
                <w:sz w:val="20"/>
              </w:rPr>
            </w:pPr>
            <w:r>
              <w:rPr>
                <w:color w:val="000000"/>
                <w:sz w:val="20"/>
              </w:rPr>
              <w:t>Референтна(и) година(и)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31DBE8" w14:textId="77777777" w:rsidR="00085591" w:rsidRDefault="00085591" w:rsidP="00235B8B">
            <w:pPr>
              <w:spacing w:before="100"/>
              <w:jc w:val="center"/>
              <w:rPr>
                <w:color w:val="000000"/>
                <w:sz w:val="20"/>
              </w:rPr>
            </w:pPr>
            <w:r w:rsidRPr="008902DE">
              <w:rPr>
                <w:color w:val="000000"/>
                <w:sz w:val="20"/>
              </w:rPr>
              <w:t>Целева стойност</w:t>
            </w:r>
            <w:r>
              <w:rPr>
                <w:color w:val="000000"/>
                <w:sz w:val="20"/>
              </w:rPr>
              <w:t xml:space="preserve"> (2029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CE23FA" w14:textId="77777777" w:rsidR="00085591" w:rsidRDefault="00085591" w:rsidP="00235B8B">
            <w:pPr>
              <w:spacing w:before="100"/>
              <w:jc w:val="center"/>
              <w:rPr>
                <w:color w:val="000000"/>
                <w:sz w:val="20"/>
              </w:rPr>
            </w:pPr>
            <w:r>
              <w:rPr>
                <w:color w:val="000000"/>
                <w:sz w:val="20"/>
              </w:rPr>
              <w:t>Мерна единица за ц</w:t>
            </w:r>
            <w:r w:rsidRPr="008902DE">
              <w:rPr>
                <w:color w:val="000000"/>
                <w:sz w:val="20"/>
              </w:rPr>
              <w:t>елева</w:t>
            </w:r>
            <w:r>
              <w:rPr>
                <w:color w:val="000000"/>
                <w:sz w:val="20"/>
              </w:rPr>
              <w:t>та</w:t>
            </w:r>
            <w:r w:rsidRPr="008902DE">
              <w:rPr>
                <w:color w:val="000000"/>
                <w:sz w:val="20"/>
              </w:rPr>
              <w:t xml:space="preserve"> стойност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471FB6" w14:textId="77777777" w:rsidR="00085591" w:rsidRDefault="00085591" w:rsidP="00235B8B">
            <w:pPr>
              <w:spacing w:before="100"/>
              <w:jc w:val="center"/>
              <w:rPr>
                <w:color w:val="000000"/>
                <w:sz w:val="20"/>
              </w:rPr>
            </w:pPr>
            <w:r>
              <w:rPr>
                <w:color w:val="000000"/>
                <w:sz w:val="20"/>
              </w:rPr>
              <w:t>Източник на данни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98668E" w14:textId="77777777" w:rsidR="00085591" w:rsidRDefault="00085591" w:rsidP="00235B8B">
            <w:pPr>
              <w:spacing w:before="100"/>
              <w:rPr>
                <w:color w:val="000000"/>
                <w:sz w:val="20"/>
              </w:rPr>
            </w:pPr>
            <w:r>
              <w:rPr>
                <w:color w:val="000000"/>
                <w:sz w:val="20"/>
              </w:rPr>
              <w:t>Коментари</w:t>
            </w:r>
          </w:p>
        </w:tc>
      </w:tr>
      <w:tr w:rsidR="00085591" w14:paraId="117A51FC"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87FAFE" w14:textId="77777777" w:rsidR="00085591" w:rsidRDefault="00085591" w:rsidP="00235B8B">
            <w:pPr>
              <w:spacing w:before="100"/>
              <w:rPr>
                <w:color w:val="000000"/>
                <w:sz w:val="20"/>
              </w:rPr>
            </w:pPr>
            <w:r>
              <w:rPr>
                <w:color w:val="000000"/>
                <w:sz w:val="20"/>
              </w:rPr>
              <w:t>R.2.5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B49C1E" w14:textId="77777777" w:rsidR="00085591" w:rsidRDefault="00085591" w:rsidP="00235B8B">
            <w:pPr>
              <w:spacing w:before="100"/>
              <w:rPr>
                <w:color w:val="000000"/>
                <w:sz w:val="20"/>
              </w:rPr>
            </w:pPr>
            <w:r w:rsidRPr="0023018C">
              <w:rPr>
                <w:color w:val="000000"/>
                <w:sz w:val="20"/>
              </w:rPr>
              <w:t>Прогнозна стойност на активите, замразени при трансгранични операции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D60D6E" w14:textId="77777777" w:rsidR="00085591" w:rsidRDefault="00085591" w:rsidP="00235B8B">
            <w:pPr>
              <w:spacing w:before="100"/>
              <w:rPr>
                <w:color w:val="000000"/>
                <w:sz w:val="20"/>
              </w:rPr>
            </w:pPr>
            <w:r>
              <w:rPr>
                <w:color w:val="000000"/>
                <w:sz w:val="20"/>
              </w:rPr>
              <w:t>сума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CE0954" w14:textId="77777777" w:rsidR="00085591" w:rsidRDefault="00085591" w:rsidP="00235B8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48C995" w14:textId="77777777" w:rsidR="00085591" w:rsidRDefault="00085591" w:rsidP="00235B8B">
            <w:pPr>
              <w:spacing w:before="100"/>
              <w:jc w:val="right"/>
              <w:rPr>
                <w:color w:val="000000"/>
                <w:sz w:val="20"/>
              </w:rPr>
            </w:pPr>
            <w:r>
              <w:rPr>
                <w:color w:val="000000"/>
                <w:sz w:val="20"/>
              </w:rPr>
              <w:t>евро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6A52E3" w14:textId="77777777" w:rsidR="00085591" w:rsidRDefault="00085591" w:rsidP="00235B8B">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FAAEC0" w14:textId="77777777" w:rsidR="00085591" w:rsidRDefault="00085591" w:rsidP="00235B8B">
            <w:pPr>
              <w:spacing w:before="100"/>
              <w:jc w:val="center"/>
              <w:rPr>
                <w:color w:val="000000"/>
                <w:sz w:val="20"/>
              </w:rPr>
            </w:pPr>
            <w:r>
              <w:rPr>
                <w:color w:val="000000"/>
                <w:sz w:val="20"/>
              </w:rPr>
              <w:t>4,200,000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0EBEE2" w14:textId="77777777" w:rsidR="00085591" w:rsidRDefault="00085591" w:rsidP="00235B8B">
            <w:pPr>
              <w:spacing w:before="100"/>
              <w:jc w:val="right"/>
              <w:rPr>
                <w:color w:val="000000"/>
                <w:sz w:val="20"/>
              </w:rPr>
            </w:pPr>
            <w:r>
              <w:rPr>
                <w:color w:val="000000"/>
                <w:sz w:val="20"/>
              </w:rPr>
              <w:t>сума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BDDAB6" w14:textId="77777777" w:rsidR="00085591" w:rsidRDefault="00085591" w:rsidP="00235B8B">
            <w:pPr>
              <w:spacing w:before="100"/>
              <w:rPr>
                <w:color w:val="000000"/>
                <w:sz w:val="20"/>
              </w:rPr>
            </w:pPr>
            <w:r>
              <w:rPr>
                <w:color w:val="000000"/>
                <w:sz w:val="20"/>
              </w:rPr>
              <w:t>Статистика на ГДБОП</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7C66A2" w14:textId="77777777" w:rsidR="00085591" w:rsidRDefault="00085591" w:rsidP="00235B8B">
            <w:pPr>
              <w:spacing w:before="100"/>
              <w:rPr>
                <w:color w:val="000000"/>
                <w:sz w:val="20"/>
              </w:rPr>
            </w:pPr>
            <w:r w:rsidRPr="00A93A91">
              <w:rPr>
                <w:color w:val="000000"/>
                <w:sz w:val="20"/>
              </w:rPr>
              <w:t>По отношение на Междуведомствения координационен център</w:t>
            </w:r>
          </w:p>
        </w:tc>
      </w:tr>
      <w:tr w:rsidR="00085591" w14:paraId="7C47A7DA"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7F136" w14:textId="77777777" w:rsidR="00085591" w:rsidRDefault="00085591" w:rsidP="00235B8B">
            <w:pPr>
              <w:spacing w:before="100"/>
              <w:rPr>
                <w:color w:val="000000"/>
                <w:sz w:val="20"/>
              </w:rPr>
            </w:pPr>
            <w:r>
              <w:rPr>
                <w:color w:val="000000"/>
                <w:sz w:val="20"/>
              </w:rPr>
              <w:t>R.2.6.1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DD7516" w14:textId="77777777" w:rsidR="00085591" w:rsidRDefault="00085591" w:rsidP="00235B8B">
            <w:pPr>
              <w:spacing w:before="100"/>
              <w:rPr>
                <w:color w:val="000000"/>
                <w:sz w:val="20"/>
              </w:rPr>
            </w:pPr>
            <w:r>
              <w:rPr>
                <w:color w:val="000000"/>
                <w:sz w:val="20"/>
              </w:rPr>
              <w:t>Количество незаконни наркотици, иззети при трансгранични операции - канабис</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E1D057" w14:textId="77777777" w:rsidR="00085591" w:rsidRDefault="00085591" w:rsidP="00235B8B">
            <w:pPr>
              <w:spacing w:before="100"/>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02837C" w14:textId="77777777" w:rsidR="00085591" w:rsidRDefault="00085591" w:rsidP="00235B8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AD269" w14:textId="77777777" w:rsidR="00085591" w:rsidRDefault="00085591" w:rsidP="00235B8B">
            <w:pPr>
              <w:spacing w:before="100"/>
              <w:jc w:val="right"/>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E6DFFB" w14:textId="77777777" w:rsidR="00085591" w:rsidRDefault="00085591" w:rsidP="00235B8B">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2B9838" w14:textId="77777777" w:rsidR="00085591" w:rsidRDefault="00085591" w:rsidP="00235B8B">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7B75BC" w14:textId="77777777" w:rsidR="00085591" w:rsidRDefault="00085591" w:rsidP="00235B8B">
            <w:pPr>
              <w:spacing w:before="100"/>
              <w:jc w:val="right"/>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07B86" w14:textId="77777777" w:rsidR="00085591" w:rsidRDefault="00085591" w:rsidP="00235B8B">
            <w:pPr>
              <w:spacing w:before="100"/>
              <w:rPr>
                <w:color w:val="000000"/>
                <w:sz w:val="20"/>
              </w:rPr>
            </w:pPr>
            <w:r>
              <w:rPr>
                <w:color w:val="000000"/>
                <w:sz w:val="20"/>
              </w:rPr>
              <w:t>Статистика на ГДБОП</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F8F6F" w14:textId="77777777" w:rsidR="00085591" w:rsidRPr="00A93A91" w:rsidRDefault="00085591" w:rsidP="00235B8B">
            <w:pPr>
              <w:spacing w:before="100"/>
              <w:rPr>
                <w:color w:val="000000"/>
                <w:sz w:val="20"/>
              </w:rPr>
            </w:pPr>
            <w:r>
              <w:rPr>
                <w:color w:val="000000"/>
                <w:sz w:val="20"/>
              </w:rPr>
              <w:t>Целевата стойност</w:t>
            </w:r>
            <w:r w:rsidRPr="00A93A91">
              <w:rPr>
                <w:color w:val="000000"/>
                <w:sz w:val="20"/>
              </w:rPr>
              <w:t xml:space="preserve"> по R.2.6.6 е за всички видове наркотици</w:t>
            </w:r>
          </w:p>
          <w:p w14:paraId="66DE614D" w14:textId="77777777" w:rsidR="00085591" w:rsidRDefault="00085591" w:rsidP="00235B8B">
            <w:pPr>
              <w:spacing w:before="100"/>
              <w:rPr>
                <w:color w:val="000000"/>
                <w:sz w:val="20"/>
              </w:rPr>
            </w:pPr>
            <w:r w:rsidRPr="00A93A91">
              <w:rPr>
                <w:color w:val="000000"/>
                <w:sz w:val="20"/>
              </w:rPr>
              <w:t>4 закрити помещения за незаконно отглеждане на канабис са открити от ГДБОП самостоятелно и съвместно с други агенции</w:t>
            </w:r>
          </w:p>
        </w:tc>
      </w:tr>
      <w:tr w:rsidR="00085591" w:rsidRPr="0058233F" w14:paraId="776C3381"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FF5113" w14:textId="77777777" w:rsidR="00085591" w:rsidRPr="0058233F" w:rsidRDefault="00085591" w:rsidP="00235B8B">
            <w:pPr>
              <w:spacing w:before="100"/>
              <w:rPr>
                <w:color w:val="000000"/>
                <w:sz w:val="20"/>
              </w:rPr>
            </w:pPr>
            <w:r w:rsidRPr="0058233F">
              <w:rPr>
                <w:color w:val="000000"/>
                <w:sz w:val="20"/>
              </w:rPr>
              <w:t>R.2.6.2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641E8" w14:textId="77777777" w:rsidR="00085591" w:rsidRPr="0058233F" w:rsidRDefault="00085591" w:rsidP="00235B8B">
            <w:pPr>
              <w:spacing w:before="100"/>
              <w:rPr>
                <w:color w:val="000000"/>
                <w:sz w:val="20"/>
              </w:rPr>
            </w:pPr>
            <w:r w:rsidRPr="0058233F">
              <w:rPr>
                <w:color w:val="000000"/>
                <w:sz w:val="20"/>
              </w:rPr>
              <w:t>Количество незаконни наркотици, иззети при трансгранични операции - опиоиди, включително хероин</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AB52B9" w14:textId="77777777" w:rsidR="00085591" w:rsidRPr="0058233F" w:rsidRDefault="00085591" w:rsidP="00235B8B">
            <w:pPr>
              <w:spacing w:before="100"/>
              <w:rPr>
                <w:color w:val="000000"/>
                <w:sz w:val="20"/>
              </w:rPr>
            </w:pPr>
            <w:r w:rsidRPr="0058233F">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915D32" w14:textId="77777777" w:rsidR="00085591" w:rsidRPr="0058233F" w:rsidRDefault="00085591" w:rsidP="00235B8B">
            <w:pPr>
              <w:spacing w:before="100"/>
              <w:rPr>
                <w:color w:val="000000"/>
                <w:sz w:val="20"/>
              </w:rPr>
            </w:pPr>
            <w:r w:rsidRPr="0058233F">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B126C6" w14:textId="77777777" w:rsidR="00085591" w:rsidRPr="0058233F" w:rsidRDefault="00085591" w:rsidP="00235B8B">
            <w:pPr>
              <w:spacing w:before="100"/>
              <w:jc w:val="right"/>
              <w:rPr>
                <w:color w:val="000000"/>
                <w:sz w:val="20"/>
              </w:rPr>
            </w:pPr>
            <w:r w:rsidRPr="0058233F">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294B13" w14:textId="77777777" w:rsidR="00085591" w:rsidRPr="0058233F" w:rsidRDefault="00085591" w:rsidP="00235B8B">
            <w:pPr>
              <w:spacing w:before="100"/>
              <w:jc w:val="center"/>
              <w:rPr>
                <w:color w:val="000000"/>
                <w:sz w:val="20"/>
              </w:rPr>
            </w:pPr>
            <w:r w:rsidRPr="0058233F">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320D3D" w14:textId="77777777" w:rsidR="00085591" w:rsidRPr="0058233F" w:rsidRDefault="00085591" w:rsidP="00235B8B">
            <w:pPr>
              <w:spacing w:before="100"/>
              <w:jc w:val="center"/>
              <w:rPr>
                <w:color w:val="000000"/>
                <w:sz w:val="20"/>
              </w:rPr>
            </w:pPr>
            <w:r w:rsidRPr="0058233F">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32C863" w14:textId="77777777" w:rsidR="00085591" w:rsidRPr="0058233F" w:rsidRDefault="00085591" w:rsidP="00235B8B">
            <w:pPr>
              <w:spacing w:before="100"/>
              <w:jc w:val="right"/>
              <w:rPr>
                <w:color w:val="000000"/>
                <w:sz w:val="20"/>
              </w:rPr>
            </w:pPr>
            <w:r w:rsidRPr="0058233F">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3E2EBE" w14:textId="77777777" w:rsidR="00085591" w:rsidRPr="0058233F" w:rsidRDefault="00085591" w:rsidP="00235B8B">
            <w:pPr>
              <w:spacing w:before="100"/>
              <w:rPr>
                <w:color w:val="000000"/>
                <w:sz w:val="20"/>
              </w:rPr>
            </w:pPr>
            <w:r>
              <w:rPr>
                <w:color w:val="000000"/>
                <w:sz w:val="20"/>
              </w:rPr>
              <w:t>Отчети по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941261" w14:textId="77777777" w:rsidR="00085591" w:rsidRPr="0058233F" w:rsidRDefault="00085591" w:rsidP="00235B8B">
            <w:pPr>
              <w:spacing w:before="100"/>
              <w:rPr>
                <w:color w:val="000000"/>
                <w:sz w:val="20"/>
              </w:rPr>
            </w:pPr>
            <w:r w:rsidRPr="0058233F">
              <w:rPr>
                <w:color w:val="000000"/>
                <w:sz w:val="20"/>
              </w:rPr>
              <w:t>Целевата стойност по R.2.6.6 е за всички видове наркотици</w:t>
            </w:r>
          </w:p>
          <w:p w14:paraId="0B91E789" w14:textId="77777777" w:rsidR="00085591" w:rsidRPr="0058233F" w:rsidRDefault="00085591" w:rsidP="00235B8B">
            <w:pPr>
              <w:spacing w:before="100"/>
              <w:rPr>
                <w:color w:val="000000"/>
                <w:sz w:val="20"/>
              </w:rPr>
            </w:pPr>
            <w:r w:rsidRPr="0058233F">
              <w:rPr>
                <w:color w:val="000000"/>
                <w:sz w:val="20"/>
              </w:rPr>
              <w:t xml:space="preserve">ГДБОП самостоятелно и съвместно с други агенции е </w:t>
            </w:r>
            <w:r w:rsidRPr="0058233F">
              <w:rPr>
                <w:color w:val="000000"/>
                <w:sz w:val="20"/>
              </w:rPr>
              <w:lastRenderedPageBreak/>
              <w:t>преустановила 5 трансгранични канала - 2 за марихуана и за трафик на хероин, кокаин и амфетамини</w:t>
            </w:r>
          </w:p>
        </w:tc>
      </w:tr>
      <w:tr w:rsidR="00085591" w14:paraId="19F77AD9"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00D9AC" w14:textId="77777777" w:rsidR="00085591" w:rsidRDefault="00085591" w:rsidP="00235B8B">
            <w:pPr>
              <w:spacing w:before="100"/>
              <w:rPr>
                <w:color w:val="000000"/>
                <w:sz w:val="20"/>
              </w:rPr>
            </w:pPr>
            <w:r>
              <w:rPr>
                <w:color w:val="000000"/>
                <w:sz w:val="20"/>
              </w:rPr>
              <w:lastRenderedPageBreak/>
              <w:t>R.2.6.3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AB4E0F" w14:textId="77777777" w:rsidR="00085591" w:rsidRDefault="00085591" w:rsidP="00235B8B">
            <w:pPr>
              <w:spacing w:before="100"/>
              <w:rPr>
                <w:color w:val="000000"/>
                <w:sz w:val="20"/>
              </w:rPr>
            </w:pPr>
            <w:r>
              <w:rPr>
                <w:color w:val="000000"/>
                <w:sz w:val="20"/>
              </w:rPr>
              <w:t xml:space="preserve">Количество незаконни наркотици, иззети при трансгранични операции - </w:t>
            </w:r>
            <w:r w:rsidRPr="00BF7915">
              <w:rPr>
                <w:color w:val="000000"/>
                <w:sz w:val="20"/>
              </w:rPr>
              <w:t>кокаин</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DE8697" w14:textId="77777777" w:rsidR="00085591" w:rsidRDefault="00085591" w:rsidP="00235B8B">
            <w:pPr>
              <w:spacing w:before="100"/>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DE337B" w14:textId="77777777" w:rsidR="00085591" w:rsidRDefault="00085591" w:rsidP="00235B8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69F3C9" w14:textId="77777777" w:rsidR="00085591" w:rsidRDefault="00085591" w:rsidP="00235B8B">
            <w:pPr>
              <w:spacing w:before="100"/>
              <w:jc w:val="right"/>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BA5AD5" w14:textId="77777777" w:rsidR="00085591" w:rsidRDefault="00085591" w:rsidP="00235B8B">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3B7E09" w14:textId="77777777" w:rsidR="00085591" w:rsidRDefault="00085591" w:rsidP="00235B8B">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F0540" w14:textId="77777777" w:rsidR="00085591" w:rsidRDefault="00085591" w:rsidP="00235B8B">
            <w:pPr>
              <w:spacing w:before="100"/>
              <w:jc w:val="right"/>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5923E5" w14:textId="77777777" w:rsidR="00085591" w:rsidRDefault="00085591" w:rsidP="00235B8B">
            <w:pPr>
              <w:spacing w:before="100"/>
              <w:rPr>
                <w:color w:val="000000"/>
                <w:sz w:val="20"/>
              </w:rPr>
            </w:pPr>
            <w:r>
              <w:rPr>
                <w:color w:val="000000"/>
                <w:sz w:val="20"/>
              </w:rPr>
              <w:t>Отчети по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C2D226" w14:textId="77777777" w:rsidR="00085591" w:rsidRPr="00A93A91" w:rsidRDefault="00085591" w:rsidP="00235B8B">
            <w:pPr>
              <w:spacing w:before="100"/>
              <w:rPr>
                <w:color w:val="000000"/>
                <w:sz w:val="20"/>
              </w:rPr>
            </w:pPr>
            <w:r w:rsidRPr="00A93A91">
              <w:rPr>
                <w:color w:val="000000"/>
                <w:sz w:val="20"/>
              </w:rPr>
              <w:t>Цел</w:t>
            </w:r>
            <w:r>
              <w:rPr>
                <w:color w:val="000000"/>
                <w:sz w:val="20"/>
              </w:rPr>
              <w:t>еват</w:t>
            </w:r>
            <w:r w:rsidRPr="00A93A91">
              <w:rPr>
                <w:color w:val="000000"/>
                <w:sz w:val="20"/>
              </w:rPr>
              <w:t>а</w:t>
            </w:r>
            <w:r>
              <w:rPr>
                <w:color w:val="000000"/>
                <w:sz w:val="20"/>
              </w:rPr>
              <w:t xml:space="preserve"> стойност</w:t>
            </w:r>
            <w:r w:rsidRPr="00A93A91">
              <w:rPr>
                <w:color w:val="000000"/>
                <w:sz w:val="20"/>
              </w:rPr>
              <w:t xml:space="preserve"> по R.2.6.6 е за всички видове наркотици</w:t>
            </w:r>
          </w:p>
          <w:p w14:paraId="6B04B9FE" w14:textId="77777777" w:rsidR="00085591" w:rsidRPr="00A93A91" w:rsidRDefault="00085591" w:rsidP="00235B8B">
            <w:pPr>
              <w:spacing w:before="100"/>
              <w:rPr>
                <w:color w:val="000000"/>
                <w:sz w:val="20"/>
              </w:rPr>
            </w:pPr>
            <w:r w:rsidRPr="00A93A91">
              <w:rPr>
                <w:color w:val="000000"/>
                <w:sz w:val="20"/>
              </w:rPr>
              <w:t xml:space="preserve">ГДБОП самостоятелно и съвместно с други агенции е прекъснала 5 трансгранични канала </w:t>
            </w:r>
          </w:p>
          <w:p w14:paraId="2F603C56" w14:textId="77777777" w:rsidR="00085591" w:rsidRDefault="00085591" w:rsidP="00235B8B">
            <w:pPr>
              <w:spacing w:before="100"/>
              <w:rPr>
                <w:color w:val="000000"/>
                <w:sz w:val="20"/>
              </w:rPr>
            </w:pPr>
            <w:r w:rsidRPr="00A93A91">
              <w:rPr>
                <w:color w:val="000000"/>
                <w:sz w:val="20"/>
              </w:rPr>
              <w:t>- 2 за марихуана и за трафик на хероин, кокаин и амфетамин</w:t>
            </w:r>
            <w:r>
              <w:rPr>
                <w:color w:val="000000"/>
                <w:sz w:val="20"/>
              </w:rPr>
              <w:t>и</w:t>
            </w:r>
          </w:p>
        </w:tc>
      </w:tr>
      <w:tr w:rsidR="00085591" w14:paraId="501BE1C7"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3094DF" w14:textId="77777777" w:rsidR="00085591" w:rsidRDefault="00085591" w:rsidP="00235B8B">
            <w:pPr>
              <w:spacing w:before="100"/>
              <w:rPr>
                <w:color w:val="000000"/>
                <w:sz w:val="20"/>
              </w:rPr>
            </w:pPr>
            <w:r>
              <w:rPr>
                <w:color w:val="000000"/>
                <w:sz w:val="20"/>
              </w:rPr>
              <w:t>R.2.6.4</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CC1823" w14:textId="77777777" w:rsidR="00085591" w:rsidRDefault="00085591" w:rsidP="00235B8B">
            <w:pPr>
              <w:spacing w:before="100"/>
              <w:rPr>
                <w:color w:val="000000"/>
                <w:sz w:val="20"/>
              </w:rPr>
            </w:pPr>
            <w:r>
              <w:rPr>
                <w:color w:val="000000"/>
                <w:sz w:val="20"/>
              </w:rPr>
              <w:t xml:space="preserve">Количество незаконни наркотици, иззети при трансгранични операции - </w:t>
            </w:r>
            <w:r w:rsidRPr="00BF7915">
              <w:rPr>
                <w:color w:val="000000"/>
                <w:sz w:val="20"/>
              </w:rPr>
              <w:t xml:space="preserve">Синтетични наркотици, включително стимуланти от типа амфетамините (включително амфетамин и метамфетамин) и </w:t>
            </w:r>
            <w:r>
              <w:rPr>
                <w:color w:val="000000"/>
                <w:sz w:val="20"/>
              </w:rPr>
              <w:t>екстази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C6CA7C" w14:textId="77777777" w:rsidR="00085591" w:rsidRDefault="00085591" w:rsidP="00235B8B">
            <w:pPr>
              <w:spacing w:before="100"/>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52D3BC" w14:textId="77777777" w:rsidR="00085591" w:rsidRDefault="00085591" w:rsidP="00235B8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91A138" w14:textId="77777777" w:rsidR="00085591" w:rsidRDefault="00085591" w:rsidP="00235B8B">
            <w:pPr>
              <w:spacing w:before="100"/>
              <w:jc w:val="right"/>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E2DDF2" w14:textId="77777777" w:rsidR="00085591" w:rsidRDefault="00085591" w:rsidP="00235B8B">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698FD1" w14:textId="77777777" w:rsidR="00085591" w:rsidRDefault="00085591" w:rsidP="00235B8B">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F04FD" w14:textId="77777777" w:rsidR="00085591" w:rsidRDefault="00085591" w:rsidP="00235B8B">
            <w:pPr>
              <w:spacing w:before="100"/>
              <w:jc w:val="right"/>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2F435E" w14:textId="77777777" w:rsidR="00085591" w:rsidRDefault="00085591" w:rsidP="00235B8B">
            <w:pPr>
              <w:spacing w:before="100"/>
              <w:rPr>
                <w:color w:val="000000"/>
                <w:sz w:val="20"/>
              </w:rPr>
            </w:pPr>
            <w:r>
              <w:rPr>
                <w:color w:val="000000"/>
                <w:sz w:val="20"/>
              </w:rPr>
              <w:t>Отчети по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381E60" w14:textId="77777777" w:rsidR="00085591" w:rsidRPr="00A93A91" w:rsidRDefault="00085591" w:rsidP="00235B8B">
            <w:pPr>
              <w:spacing w:before="100"/>
              <w:rPr>
                <w:color w:val="000000"/>
                <w:sz w:val="20"/>
              </w:rPr>
            </w:pPr>
            <w:r>
              <w:rPr>
                <w:color w:val="000000"/>
                <w:sz w:val="20"/>
              </w:rPr>
              <w:t>Целева</w:t>
            </w:r>
            <w:r w:rsidRPr="00A93A91">
              <w:rPr>
                <w:color w:val="000000"/>
                <w:sz w:val="20"/>
              </w:rPr>
              <w:t>та</w:t>
            </w:r>
            <w:r>
              <w:rPr>
                <w:color w:val="000000"/>
                <w:sz w:val="20"/>
              </w:rPr>
              <w:t xml:space="preserve"> стойност</w:t>
            </w:r>
            <w:r w:rsidRPr="00A93A91">
              <w:rPr>
                <w:color w:val="000000"/>
                <w:sz w:val="20"/>
              </w:rPr>
              <w:t xml:space="preserve"> по R.2.6.6 е за всички видове наркотици</w:t>
            </w:r>
          </w:p>
          <w:p w14:paraId="72F22FAD" w14:textId="77777777" w:rsidR="00085591" w:rsidRDefault="00085591" w:rsidP="00235B8B">
            <w:pPr>
              <w:spacing w:before="100"/>
              <w:rPr>
                <w:color w:val="000000"/>
                <w:sz w:val="20"/>
              </w:rPr>
            </w:pPr>
            <w:r w:rsidRPr="00A93A91">
              <w:rPr>
                <w:color w:val="000000"/>
                <w:sz w:val="20"/>
              </w:rPr>
              <w:t xml:space="preserve">ГДБОП самостоятелно и съвместно с други служби разкри 3 незаконни лаборатории за </w:t>
            </w:r>
            <w:r w:rsidRPr="00A93A91">
              <w:rPr>
                <w:color w:val="000000"/>
                <w:sz w:val="20"/>
              </w:rPr>
              <w:lastRenderedPageBreak/>
              <w:t>синтез на амфетамини и екстази</w:t>
            </w:r>
          </w:p>
        </w:tc>
      </w:tr>
      <w:tr w:rsidR="00085591" w14:paraId="381B010F"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B178B7" w14:textId="77777777" w:rsidR="00085591" w:rsidRDefault="00085591" w:rsidP="00235B8B">
            <w:pPr>
              <w:spacing w:before="100"/>
              <w:rPr>
                <w:color w:val="000000"/>
                <w:sz w:val="20"/>
              </w:rPr>
            </w:pPr>
            <w:r>
              <w:rPr>
                <w:color w:val="000000"/>
                <w:sz w:val="20"/>
              </w:rPr>
              <w:lastRenderedPageBreak/>
              <w:t>R.2.6.5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70F420" w14:textId="77777777" w:rsidR="00085591" w:rsidRDefault="00085591" w:rsidP="00235B8B">
            <w:pPr>
              <w:spacing w:before="100"/>
              <w:rPr>
                <w:color w:val="000000"/>
                <w:sz w:val="20"/>
              </w:rPr>
            </w:pPr>
            <w:r>
              <w:rPr>
                <w:color w:val="000000"/>
                <w:sz w:val="20"/>
              </w:rPr>
              <w:t xml:space="preserve">Количество незаконни наркотици, иззети при трансгранични операции - </w:t>
            </w:r>
            <w:r w:rsidRPr="00BF7915">
              <w:rPr>
                <w:color w:val="000000"/>
                <w:sz w:val="20"/>
              </w:rPr>
              <w:t>нови психоактивни вещества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523BD4" w14:textId="77777777" w:rsidR="00085591" w:rsidRDefault="00085591" w:rsidP="00235B8B">
            <w:pPr>
              <w:spacing w:before="100"/>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E0371" w14:textId="77777777" w:rsidR="00085591" w:rsidRDefault="00085591" w:rsidP="00235B8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66CE35" w14:textId="77777777" w:rsidR="00085591" w:rsidRDefault="00085591" w:rsidP="00235B8B">
            <w:pPr>
              <w:spacing w:before="100"/>
              <w:jc w:val="right"/>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019E06" w14:textId="77777777" w:rsidR="00085591" w:rsidRDefault="00085591" w:rsidP="00235B8B">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180CB2" w14:textId="77777777" w:rsidR="00085591" w:rsidRDefault="00085591" w:rsidP="00235B8B">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ABCB33" w14:textId="77777777" w:rsidR="00085591" w:rsidRDefault="00085591" w:rsidP="00235B8B">
            <w:pPr>
              <w:spacing w:before="100"/>
              <w:jc w:val="right"/>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F48C1" w14:textId="77777777" w:rsidR="00085591" w:rsidRDefault="00085591" w:rsidP="00235B8B">
            <w:pPr>
              <w:spacing w:before="100"/>
              <w:rPr>
                <w:color w:val="000000"/>
                <w:sz w:val="20"/>
              </w:rPr>
            </w:pPr>
            <w:r>
              <w:rPr>
                <w:color w:val="000000"/>
                <w:sz w:val="20"/>
              </w:rPr>
              <w:t>Отчети по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B6FD29" w14:textId="77777777" w:rsidR="00085591" w:rsidRDefault="00085591" w:rsidP="00235B8B">
            <w:pPr>
              <w:spacing w:before="100"/>
              <w:rPr>
                <w:color w:val="000000"/>
                <w:sz w:val="20"/>
              </w:rPr>
            </w:pPr>
            <w:r w:rsidRPr="00A93A91">
              <w:rPr>
                <w:color w:val="000000"/>
                <w:sz w:val="20"/>
              </w:rPr>
              <w:t>Цел</w:t>
            </w:r>
            <w:r>
              <w:rPr>
                <w:color w:val="000000"/>
                <w:sz w:val="20"/>
              </w:rPr>
              <w:t>ева</w:t>
            </w:r>
            <w:r w:rsidRPr="00A93A91">
              <w:rPr>
                <w:color w:val="000000"/>
                <w:sz w:val="20"/>
              </w:rPr>
              <w:t xml:space="preserve">та </w:t>
            </w:r>
            <w:r>
              <w:rPr>
                <w:color w:val="000000"/>
                <w:sz w:val="20"/>
              </w:rPr>
              <w:t xml:space="preserve">стойност </w:t>
            </w:r>
            <w:r w:rsidRPr="00A93A91">
              <w:rPr>
                <w:color w:val="000000"/>
                <w:sz w:val="20"/>
              </w:rPr>
              <w:t>по R.2.6.6 е за всички видове наркотици</w:t>
            </w:r>
          </w:p>
        </w:tc>
      </w:tr>
      <w:tr w:rsidR="00085591" w14:paraId="721A8B76"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047D41" w14:textId="77777777" w:rsidR="00085591" w:rsidRDefault="00085591" w:rsidP="00235B8B">
            <w:pPr>
              <w:spacing w:before="100"/>
              <w:rPr>
                <w:color w:val="000000"/>
                <w:sz w:val="20"/>
              </w:rPr>
            </w:pPr>
            <w:r>
              <w:rPr>
                <w:color w:val="000000"/>
                <w:sz w:val="20"/>
              </w:rPr>
              <w:t>R.2.6.6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461A86" w14:textId="77777777" w:rsidR="00085591" w:rsidRDefault="00085591" w:rsidP="00235B8B">
            <w:pPr>
              <w:spacing w:before="100"/>
              <w:rPr>
                <w:color w:val="000000"/>
                <w:sz w:val="20"/>
              </w:rPr>
            </w:pPr>
            <w:r>
              <w:rPr>
                <w:color w:val="000000"/>
                <w:sz w:val="20"/>
              </w:rPr>
              <w:t xml:space="preserve">Количество незаконни наркотици, иззети при трансгранични операции - </w:t>
            </w:r>
            <w:r w:rsidRPr="00BF7915">
              <w:rPr>
                <w:color w:val="000000"/>
                <w:sz w:val="20"/>
              </w:rPr>
              <w:t>други незаконни наркотици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7486E2" w14:textId="77777777" w:rsidR="00085591" w:rsidRDefault="00085591" w:rsidP="00235B8B">
            <w:pPr>
              <w:spacing w:before="100"/>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675DC5" w14:textId="77777777" w:rsidR="00085591" w:rsidRDefault="00085591" w:rsidP="00235B8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854E51" w14:textId="77777777" w:rsidR="00085591" w:rsidRDefault="00085591" w:rsidP="00235B8B">
            <w:pPr>
              <w:spacing w:before="100"/>
              <w:jc w:val="right"/>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1A6E17" w14:textId="77777777" w:rsidR="00085591" w:rsidRDefault="00085591" w:rsidP="00235B8B">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FE3B13" w14:textId="77777777" w:rsidR="00085591" w:rsidRDefault="00085591" w:rsidP="00235B8B">
            <w:pPr>
              <w:spacing w:before="100"/>
              <w:jc w:val="center"/>
              <w:rPr>
                <w:color w:val="000000"/>
                <w:sz w:val="20"/>
              </w:rPr>
            </w:pPr>
            <w:r w:rsidRPr="00C90F37">
              <w:rPr>
                <w:color w:val="000000"/>
                <w:sz w:val="20"/>
              </w:rPr>
              <w:t>400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2D3620" w14:textId="77777777" w:rsidR="00085591" w:rsidRDefault="00085591" w:rsidP="00235B8B">
            <w:pPr>
              <w:spacing w:before="100"/>
              <w:jc w:val="right"/>
              <w:rPr>
                <w:color w:val="000000"/>
                <w:sz w:val="20"/>
              </w:rPr>
            </w:pPr>
            <w:r>
              <w:rPr>
                <w:color w:val="000000"/>
                <w:sz w:val="20"/>
              </w:rPr>
              <w:t>кг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822486" w14:textId="77777777" w:rsidR="00085591" w:rsidRDefault="00085591" w:rsidP="00235B8B">
            <w:pPr>
              <w:spacing w:before="100"/>
              <w:rPr>
                <w:color w:val="000000"/>
                <w:sz w:val="20"/>
              </w:rPr>
            </w:pPr>
            <w:r>
              <w:rPr>
                <w:color w:val="000000"/>
                <w:sz w:val="20"/>
              </w:rPr>
              <w:t>Отчети по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FD350" w14:textId="77777777" w:rsidR="00085591" w:rsidRDefault="00085591" w:rsidP="00235B8B">
            <w:pPr>
              <w:spacing w:before="100"/>
              <w:rPr>
                <w:color w:val="000000"/>
                <w:sz w:val="20"/>
              </w:rPr>
            </w:pPr>
            <w:r w:rsidRPr="00A93A91">
              <w:rPr>
                <w:color w:val="000000"/>
                <w:sz w:val="20"/>
              </w:rPr>
              <w:t>Цел</w:t>
            </w:r>
            <w:r>
              <w:rPr>
                <w:color w:val="000000"/>
                <w:sz w:val="20"/>
              </w:rPr>
              <w:t>ева</w:t>
            </w:r>
            <w:r w:rsidRPr="00A93A91">
              <w:rPr>
                <w:color w:val="000000"/>
                <w:sz w:val="20"/>
              </w:rPr>
              <w:t xml:space="preserve">та </w:t>
            </w:r>
            <w:r>
              <w:rPr>
                <w:color w:val="000000"/>
                <w:sz w:val="20"/>
              </w:rPr>
              <w:t xml:space="preserve">стойност </w:t>
            </w:r>
            <w:r w:rsidRPr="00A93A91">
              <w:rPr>
                <w:color w:val="000000"/>
                <w:sz w:val="20"/>
              </w:rPr>
              <w:t>е за всички видове наркотици</w:t>
            </w:r>
            <w:r>
              <w:rPr>
                <w:color w:val="000000"/>
                <w:sz w:val="20"/>
              </w:rPr>
              <w:t xml:space="preserve"> – вкл. за R.2.6.1 – R.2.6.5</w:t>
            </w:r>
          </w:p>
        </w:tc>
      </w:tr>
      <w:tr w:rsidR="00085591" w14:paraId="17447718"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652CB8" w14:textId="77777777" w:rsidR="00085591" w:rsidRDefault="00085591" w:rsidP="00235B8B">
            <w:pPr>
              <w:spacing w:before="100"/>
              <w:rPr>
                <w:color w:val="000000"/>
                <w:sz w:val="20"/>
              </w:rPr>
            </w:pPr>
            <w:r>
              <w:rPr>
                <w:color w:val="000000"/>
                <w:sz w:val="20"/>
              </w:rPr>
              <w:t>R.2.7.1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717C9D" w14:textId="77777777" w:rsidR="00085591" w:rsidRDefault="00085591" w:rsidP="00235B8B">
            <w:pPr>
              <w:spacing w:before="100"/>
              <w:rPr>
                <w:color w:val="000000"/>
                <w:sz w:val="20"/>
              </w:rPr>
            </w:pPr>
            <w:r>
              <w:rPr>
                <w:color w:val="000000"/>
                <w:sz w:val="20"/>
              </w:rPr>
              <w:t xml:space="preserve">Количество оръжия, иззети при трансгранични операции - </w:t>
            </w:r>
            <w:r w:rsidRPr="00BF7915">
              <w:rPr>
                <w:color w:val="000000"/>
                <w:sz w:val="20"/>
              </w:rPr>
              <w:t xml:space="preserve">бойни оръжия: автоматични огнестрелни оръжия и тежки огнестрелни оръжия (противотанкови, ракетни </w:t>
            </w:r>
            <w:r>
              <w:rPr>
                <w:color w:val="000000"/>
                <w:sz w:val="20"/>
              </w:rPr>
              <w:t>установки, минохвъргачки и др.)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C670ED" w14:textId="77777777" w:rsidR="00085591" w:rsidRDefault="00085591" w:rsidP="00235B8B">
            <w:pPr>
              <w:spacing w:before="100"/>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E6D810" w14:textId="77777777" w:rsidR="00085591" w:rsidRDefault="00085591" w:rsidP="00235B8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FBBED8" w14:textId="77777777" w:rsidR="00085591" w:rsidRDefault="00085591"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D546EC" w14:textId="77777777" w:rsidR="00085591" w:rsidRDefault="00085591" w:rsidP="00235B8B">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0EBF80" w14:textId="77777777" w:rsidR="00085591" w:rsidRPr="00C90F37" w:rsidRDefault="00085591" w:rsidP="00235B8B">
            <w:pPr>
              <w:spacing w:before="100"/>
              <w:jc w:val="center"/>
              <w:rPr>
                <w:color w:val="000000"/>
                <w:sz w:val="20"/>
              </w:rPr>
            </w:pPr>
            <w:r>
              <w:rPr>
                <w:color w:val="000000"/>
                <w:sz w:val="20"/>
              </w:rPr>
              <w:t>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D55D66" w14:textId="77777777" w:rsidR="00085591" w:rsidRDefault="00085591"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6D1255" w14:textId="77777777" w:rsidR="00085591" w:rsidRDefault="00085591" w:rsidP="00235B8B">
            <w:pPr>
              <w:spacing w:before="100"/>
              <w:rPr>
                <w:color w:val="000000"/>
                <w:sz w:val="20"/>
              </w:rPr>
            </w:pPr>
            <w:r>
              <w:rPr>
                <w:color w:val="000000"/>
                <w:sz w:val="20"/>
              </w:rPr>
              <w:t>Статистика на ГДБОП</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651F85" w14:textId="77777777" w:rsidR="00085591" w:rsidRDefault="00085591" w:rsidP="00235B8B">
            <w:pPr>
              <w:spacing w:before="100"/>
              <w:rPr>
                <w:color w:val="000000"/>
                <w:sz w:val="20"/>
              </w:rPr>
            </w:pPr>
            <w:r w:rsidRPr="00A93A91">
              <w:rPr>
                <w:color w:val="000000"/>
                <w:sz w:val="20"/>
              </w:rPr>
              <w:t>Цел</w:t>
            </w:r>
            <w:r>
              <w:rPr>
                <w:color w:val="000000"/>
                <w:sz w:val="20"/>
              </w:rPr>
              <w:t>ева</w:t>
            </w:r>
            <w:r w:rsidRPr="00A93A91">
              <w:rPr>
                <w:color w:val="000000"/>
                <w:sz w:val="20"/>
              </w:rPr>
              <w:t xml:space="preserve">та </w:t>
            </w:r>
            <w:r>
              <w:rPr>
                <w:color w:val="000000"/>
                <w:sz w:val="20"/>
              </w:rPr>
              <w:t xml:space="preserve">стойност 15 е за всички </w:t>
            </w:r>
            <w:r w:rsidRPr="00A93A91">
              <w:rPr>
                <w:color w:val="000000"/>
                <w:sz w:val="20"/>
              </w:rPr>
              <w:t>вид</w:t>
            </w:r>
            <w:r>
              <w:rPr>
                <w:color w:val="000000"/>
                <w:sz w:val="20"/>
              </w:rPr>
              <w:t>ове</w:t>
            </w:r>
            <w:r w:rsidRPr="00A93A91">
              <w:rPr>
                <w:color w:val="000000"/>
                <w:sz w:val="20"/>
              </w:rPr>
              <w:t xml:space="preserve"> оръжие</w:t>
            </w:r>
          </w:p>
          <w:p w14:paraId="5E770695" w14:textId="77777777" w:rsidR="00085591" w:rsidRDefault="00085591" w:rsidP="00235B8B">
            <w:pPr>
              <w:spacing w:before="100"/>
              <w:rPr>
                <w:color w:val="000000"/>
                <w:sz w:val="20"/>
              </w:rPr>
            </w:pPr>
            <w:r w:rsidRPr="00A93A91">
              <w:rPr>
                <w:color w:val="000000"/>
                <w:sz w:val="20"/>
              </w:rPr>
              <w:t>Производствена база за обработка, модификация и ремонт на огнестрелни оръжия е открита от ГДБОП самостоятелно и съвместно с други агенции</w:t>
            </w:r>
          </w:p>
        </w:tc>
      </w:tr>
      <w:tr w:rsidR="00085591" w14:paraId="5BE8FEB4"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999BF3" w14:textId="77777777" w:rsidR="00085591" w:rsidRDefault="00085591" w:rsidP="00235B8B">
            <w:pPr>
              <w:spacing w:before="100"/>
              <w:rPr>
                <w:color w:val="000000"/>
                <w:sz w:val="20"/>
              </w:rPr>
            </w:pPr>
            <w:r>
              <w:rPr>
                <w:color w:val="000000"/>
                <w:sz w:val="20"/>
              </w:rPr>
              <w:t>R.2.7.2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009702" w14:textId="77777777" w:rsidR="00085591" w:rsidRDefault="00085591" w:rsidP="00235B8B">
            <w:pPr>
              <w:spacing w:before="100"/>
              <w:rPr>
                <w:color w:val="000000"/>
                <w:sz w:val="20"/>
              </w:rPr>
            </w:pPr>
            <w:r>
              <w:rPr>
                <w:color w:val="000000"/>
                <w:sz w:val="20"/>
              </w:rPr>
              <w:t xml:space="preserve">Количество оръжия, иззети при трансгранични операции - </w:t>
            </w:r>
            <w:r w:rsidRPr="00BF7915">
              <w:rPr>
                <w:color w:val="000000"/>
                <w:sz w:val="20"/>
              </w:rPr>
              <w:t xml:space="preserve">други късоцевни огнестрелни оръжия: </w:t>
            </w:r>
            <w:r w:rsidRPr="00BF7915">
              <w:rPr>
                <w:color w:val="000000"/>
                <w:sz w:val="20"/>
              </w:rPr>
              <w:lastRenderedPageBreak/>
              <w:t>револвери и пистолети (включително салютни или акустични оръжия)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AE30D8" w14:textId="77777777" w:rsidR="00085591" w:rsidRDefault="00085591" w:rsidP="00235B8B">
            <w:pPr>
              <w:spacing w:before="100"/>
              <w:rPr>
                <w:color w:val="000000"/>
                <w:sz w:val="20"/>
              </w:rPr>
            </w:pPr>
            <w:r>
              <w:rPr>
                <w:color w:val="000000"/>
                <w:sz w:val="20"/>
              </w:rPr>
              <w:lastRenderedPageBreak/>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94B7E5" w14:textId="77777777" w:rsidR="00085591" w:rsidRDefault="00085591" w:rsidP="00235B8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5F9578" w14:textId="77777777" w:rsidR="00085591" w:rsidRDefault="00085591"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F60F29" w14:textId="77777777" w:rsidR="00085591" w:rsidRDefault="00085591" w:rsidP="00235B8B">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B06765" w14:textId="77777777" w:rsidR="00085591" w:rsidRPr="00C90F37" w:rsidRDefault="00085591" w:rsidP="00235B8B">
            <w:pPr>
              <w:spacing w:before="100"/>
              <w:jc w:val="center"/>
              <w:rPr>
                <w:color w:val="000000"/>
                <w:sz w:val="20"/>
              </w:rPr>
            </w:pPr>
            <w:r>
              <w:rPr>
                <w:color w:val="000000"/>
                <w:sz w:val="20"/>
              </w:rPr>
              <w:t>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7B5CD1" w14:textId="77777777" w:rsidR="00085591" w:rsidRDefault="00085591"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A49092" w14:textId="77777777" w:rsidR="00085591" w:rsidRDefault="00085591" w:rsidP="00235B8B">
            <w:pPr>
              <w:spacing w:before="100"/>
              <w:rPr>
                <w:color w:val="000000"/>
                <w:sz w:val="20"/>
              </w:rPr>
            </w:pPr>
            <w:r>
              <w:rPr>
                <w:color w:val="000000"/>
                <w:sz w:val="20"/>
              </w:rPr>
              <w:t>Отчети по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4B184B" w14:textId="77777777" w:rsidR="00085591" w:rsidRDefault="00085591" w:rsidP="00235B8B">
            <w:pPr>
              <w:spacing w:before="100"/>
              <w:rPr>
                <w:color w:val="000000"/>
                <w:sz w:val="20"/>
              </w:rPr>
            </w:pPr>
            <w:r w:rsidRPr="00A93A91">
              <w:rPr>
                <w:color w:val="000000"/>
                <w:sz w:val="20"/>
              </w:rPr>
              <w:t>Цел</w:t>
            </w:r>
            <w:r>
              <w:rPr>
                <w:color w:val="000000"/>
                <w:sz w:val="20"/>
              </w:rPr>
              <w:t>ева</w:t>
            </w:r>
            <w:r w:rsidRPr="00A93A91">
              <w:rPr>
                <w:color w:val="000000"/>
                <w:sz w:val="20"/>
              </w:rPr>
              <w:t xml:space="preserve">та </w:t>
            </w:r>
            <w:r>
              <w:rPr>
                <w:color w:val="000000"/>
                <w:sz w:val="20"/>
              </w:rPr>
              <w:t xml:space="preserve">стойност 15 е за всички </w:t>
            </w:r>
            <w:r w:rsidRPr="00A93A91">
              <w:rPr>
                <w:color w:val="000000"/>
                <w:sz w:val="20"/>
              </w:rPr>
              <w:t>вид</w:t>
            </w:r>
            <w:r>
              <w:rPr>
                <w:color w:val="000000"/>
                <w:sz w:val="20"/>
              </w:rPr>
              <w:t>ове</w:t>
            </w:r>
            <w:r w:rsidRPr="00A93A91">
              <w:rPr>
                <w:color w:val="000000"/>
                <w:sz w:val="20"/>
              </w:rPr>
              <w:t xml:space="preserve"> оръжие</w:t>
            </w:r>
          </w:p>
          <w:p w14:paraId="59EFB469" w14:textId="77777777" w:rsidR="00085591" w:rsidRDefault="00085591" w:rsidP="00235B8B">
            <w:pPr>
              <w:spacing w:before="100"/>
              <w:rPr>
                <w:color w:val="000000"/>
                <w:sz w:val="20"/>
              </w:rPr>
            </w:pPr>
          </w:p>
        </w:tc>
      </w:tr>
      <w:tr w:rsidR="00085591" w14:paraId="51712564"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802213" w14:textId="77777777" w:rsidR="00085591" w:rsidRDefault="00085591" w:rsidP="00235B8B">
            <w:pPr>
              <w:spacing w:before="100"/>
              <w:rPr>
                <w:color w:val="000000"/>
                <w:sz w:val="20"/>
              </w:rPr>
            </w:pPr>
            <w:r>
              <w:rPr>
                <w:color w:val="000000"/>
                <w:sz w:val="20"/>
              </w:rPr>
              <w:t>R.2.7.3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7EED9" w14:textId="77777777" w:rsidR="00085591" w:rsidRDefault="00085591" w:rsidP="00235B8B">
            <w:pPr>
              <w:spacing w:before="100"/>
              <w:rPr>
                <w:color w:val="000000"/>
                <w:sz w:val="20"/>
              </w:rPr>
            </w:pPr>
            <w:r>
              <w:rPr>
                <w:color w:val="000000"/>
                <w:sz w:val="20"/>
              </w:rPr>
              <w:t xml:space="preserve">Количество оръжия, иззети при трансгранични операции - </w:t>
            </w:r>
            <w:r w:rsidRPr="00BF7915">
              <w:rPr>
                <w:color w:val="000000"/>
                <w:sz w:val="20"/>
              </w:rPr>
              <w:t>други дългоцевни огнестрелни оръжия: пушки (включително салютни или акустични оръжия)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82BA4C" w14:textId="77777777" w:rsidR="00085591" w:rsidRDefault="00085591" w:rsidP="00235B8B">
            <w:pPr>
              <w:spacing w:before="100"/>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31C9AD" w14:textId="77777777" w:rsidR="00085591" w:rsidRDefault="00085591" w:rsidP="00235B8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12EA68" w14:textId="77777777" w:rsidR="00085591" w:rsidRDefault="00085591"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77B95" w14:textId="77777777" w:rsidR="00085591" w:rsidRDefault="00085591" w:rsidP="00235B8B">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0D013C" w14:textId="77777777" w:rsidR="00085591" w:rsidRPr="00C90F37" w:rsidRDefault="00085591" w:rsidP="00235B8B">
            <w:pPr>
              <w:spacing w:before="100"/>
              <w:jc w:val="center"/>
              <w:rPr>
                <w:color w:val="000000"/>
                <w:sz w:val="20"/>
              </w:rPr>
            </w:pPr>
            <w:r>
              <w:rPr>
                <w:color w:val="000000"/>
                <w:sz w:val="20"/>
              </w:rPr>
              <w:t>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F5292C" w14:textId="77777777" w:rsidR="00085591" w:rsidRDefault="00085591"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3956AD" w14:textId="77777777" w:rsidR="00085591" w:rsidRDefault="00085591" w:rsidP="00235B8B">
            <w:pPr>
              <w:spacing w:before="100"/>
              <w:rPr>
                <w:color w:val="000000"/>
                <w:sz w:val="20"/>
              </w:rPr>
            </w:pPr>
            <w:r>
              <w:rPr>
                <w:color w:val="000000"/>
                <w:sz w:val="20"/>
              </w:rPr>
              <w:t>Отчети по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BEEE95" w14:textId="77777777" w:rsidR="00085591" w:rsidRDefault="00085591" w:rsidP="00235B8B">
            <w:pPr>
              <w:spacing w:before="100"/>
              <w:rPr>
                <w:color w:val="000000"/>
                <w:sz w:val="20"/>
              </w:rPr>
            </w:pPr>
            <w:r w:rsidRPr="00A93A91">
              <w:rPr>
                <w:color w:val="000000"/>
                <w:sz w:val="20"/>
              </w:rPr>
              <w:t>Цел</w:t>
            </w:r>
            <w:r>
              <w:rPr>
                <w:color w:val="000000"/>
                <w:sz w:val="20"/>
              </w:rPr>
              <w:t>ева</w:t>
            </w:r>
            <w:r w:rsidRPr="00A93A91">
              <w:rPr>
                <w:color w:val="000000"/>
                <w:sz w:val="20"/>
              </w:rPr>
              <w:t xml:space="preserve">та </w:t>
            </w:r>
            <w:r>
              <w:rPr>
                <w:color w:val="000000"/>
                <w:sz w:val="20"/>
              </w:rPr>
              <w:t xml:space="preserve">стойност 15 е за всички </w:t>
            </w:r>
            <w:r w:rsidRPr="00A93A91">
              <w:rPr>
                <w:color w:val="000000"/>
                <w:sz w:val="20"/>
              </w:rPr>
              <w:t>вид</w:t>
            </w:r>
            <w:r>
              <w:rPr>
                <w:color w:val="000000"/>
                <w:sz w:val="20"/>
              </w:rPr>
              <w:t>ове</w:t>
            </w:r>
            <w:r w:rsidRPr="00A93A91">
              <w:rPr>
                <w:color w:val="000000"/>
                <w:sz w:val="20"/>
              </w:rPr>
              <w:t xml:space="preserve"> оръжие</w:t>
            </w:r>
          </w:p>
          <w:p w14:paraId="16D3ABC3" w14:textId="77777777" w:rsidR="00085591" w:rsidRDefault="00085591" w:rsidP="00235B8B">
            <w:pPr>
              <w:spacing w:before="100"/>
              <w:rPr>
                <w:color w:val="000000"/>
                <w:sz w:val="20"/>
              </w:rPr>
            </w:pPr>
          </w:p>
        </w:tc>
      </w:tr>
      <w:tr w:rsidR="00085591" w14:paraId="5090AEDD"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B44717" w14:textId="77777777" w:rsidR="00085591" w:rsidRDefault="00085591" w:rsidP="00235B8B">
            <w:pPr>
              <w:spacing w:before="100"/>
              <w:rPr>
                <w:color w:val="000000"/>
                <w:sz w:val="20"/>
              </w:rPr>
            </w:pPr>
            <w:r>
              <w:rPr>
                <w:color w:val="000000"/>
                <w:sz w:val="20"/>
              </w:rPr>
              <w:t>R.2.8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182E6D" w14:textId="77777777" w:rsidR="00085591" w:rsidRDefault="00085591" w:rsidP="00235B8B">
            <w:pPr>
              <w:spacing w:before="100"/>
              <w:rPr>
                <w:color w:val="000000"/>
                <w:sz w:val="20"/>
              </w:rPr>
            </w:pPr>
            <w:r w:rsidRPr="00BF7915">
              <w:rPr>
                <w:color w:val="000000"/>
                <w:sz w:val="20"/>
              </w:rPr>
              <w:t>Брой административни единици, които са разработили/адаптирали съществуващи механизми/процедури/инструменти/насоки за сътрудничество с други държави членки/органи, служби или агенции на Съюза/трети държави/международни организации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B9C2D2" w14:textId="77777777" w:rsidR="00085591" w:rsidRDefault="00085591" w:rsidP="00235B8B">
            <w:pPr>
              <w:spacing w:before="100"/>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73C71C" w14:textId="77777777" w:rsidR="00085591" w:rsidRDefault="00085591" w:rsidP="00235B8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AA4853" w14:textId="77777777" w:rsidR="00085591" w:rsidRDefault="00085591"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A5791C" w14:textId="77777777" w:rsidR="00085591" w:rsidRDefault="00085591" w:rsidP="00235B8B">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2402A9" w14:textId="77777777" w:rsidR="00085591" w:rsidRDefault="00085591" w:rsidP="00235B8B">
            <w:pPr>
              <w:spacing w:before="100"/>
              <w:jc w:val="center"/>
              <w:rPr>
                <w:color w:val="000000"/>
                <w:sz w:val="20"/>
              </w:rPr>
            </w:pPr>
            <w:r>
              <w:rPr>
                <w:color w:val="000000"/>
                <w:sz w:val="20"/>
              </w:rPr>
              <w:t>38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86DEEB" w14:textId="77777777" w:rsidR="00085591" w:rsidRDefault="00085591"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22A8D3" w14:textId="77777777" w:rsidR="00085591" w:rsidRDefault="00085591" w:rsidP="00235B8B">
            <w:pPr>
              <w:spacing w:before="100"/>
              <w:rPr>
                <w:color w:val="000000"/>
                <w:sz w:val="20"/>
              </w:rPr>
            </w:pPr>
            <w:r>
              <w:rPr>
                <w:color w:val="000000"/>
                <w:sz w:val="20"/>
              </w:rPr>
              <w:t>Отчети по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B37D1F" w14:textId="77777777" w:rsidR="00085591" w:rsidRPr="00AB72A1" w:rsidRDefault="00085591" w:rsidP="00235B8B">
            <w:pPr>
              <w:spacing w:before="100"/>
              <w:rPr>
                <w:color w:val="000000"/>
                <w:sz w:val="20"/>
              </w:rPr>
            </w:pPr>
            <w:r w:rsidRPr="00AB72A1">
              <w:rPr>
                <w:color w:val="000000"/>
                <w:sz w:val="20"/>
              </w:rPr>
              <w:t xml:space="preserve">Включително: </w:t>
            </w:r>
          </w:p>
          <w:p w14:paraId="11D3D945" w14:textId="77777777" w:rsidR="00085591" w:rsidRPr="00AB72A1" w:rsidRDefault="00085591" w:rsidP="00235B8B">
            <w:pPr>
              <w:spacing w:before="100"/>
              <w:rPr>
                <w:color w:val="000000"/>
                <w:sz w:val="20"/>
              </w:rPr>
            </w:pPr>
            <w:r w:rsidRPr="00AB72A1">
              <w:rPr>
                <w:color w:val="000000"/>
                <w:sz w:val="20"/>
              </w:rPr>
              <w:t>- ГДБОП</w:t>
            </w:r>
          </w:p>
          <w:p w14:paraId="0742D8BA" w14:textId="77777777" w:rsidR="00085591" w:rsidRPr="00AB72A1" w:rsidRDefault="00085591" w:rsidP="00235B8B">
            <w:pPr>
              <w:spacing w:before="100"/>
              <w:rPr>
                <w:color w:val="000000"/>
                <w:sz w:val="20"/>
              </w:rPr>
            </w:pPr>
            <w:r w:rsidRPr="00AB72A1">
              <w:rPr>
                <w:color w:val="000000"/>
                <w:sz w:val="20"/>
              </w:rPr>
              <w:t xml:space="preserve">- </w:t>
            </w:r>
            <w:r>
              <w:rPr>
                <w:color w:val="000000"/>
                <w:sz w:val="20"/>
              </w:rPr>
              <w:t>ДВС</w:t>
            </w:r>
          </w:p>
          <w:p w14:paraId="2A8114F0" w14:textId="77777777" w:rsidR="00085591" w:rsidRPr="00AB72A1" w:rsidRDefault="00085591" w:rsidP="00235B8B">
            <w:pPr>
              <w:spacing w:before="100"/>
              <w:rPr>
                <w:color w:val="000000"/>
                <w:sz w:val="20"/>
              </w:rPr>
            </w:pPr>
            <w:r w:rsidRPr="00AB72A1">
              <w:rPr>
                <w:color w:val="000000"/>
                <w:sz w:val="20"/>
              </w:rPr>
              <w:t xml:space="preserve">- </w:t>
            </w:r>
            <w:r>
              <w:rPr>
                <w:color w:val="000000"/>
                <w:sz w:val="20"/>
              </w:rPr>
              <w:t>АМВР</w:t>
            </w:r>
            <w:r w:rsidRPr="00AB72A1">
              <w:rPr>
                <w:color w:val="000000"/>
                <w:sz w:val="20"/>
              </w:rPr>
              <w:t xml:space="preserve"> </w:t>
            </w:r>
          </w:p>
          <w:p w14:paraId="350D0BF6" w14:textId="77777777" w:rsidR="00085591" w:rsidRDefault="00085591" w:rsidP="00235B8B">
            <w:pPr>
              <w:spacing w:before="100"/>
              <w:rPr>
                <w:color w:val="000000"/>
                <w:sz w:val="20"/>
              </w:rPr>
            </w:pPr>
            <w:r w:rsidRPr="00AB72A1">
              <w:rPr>
                <w:color w:val="000000"/>
                <w:sz w:val="20"/>
              </w:rPr>
              <w:t xml:space="preserve">- 28 </w:t>
            </w:r>
            <w:r>
              <w:rPr>
                <w:color w:val="000000"/>
                <w:sz w:val="20"/>
              </w:rPr>
              <w:t>областни</w:t>
            </w:r>
            <w:r w:rsidRPr="00AB72A1">
              <w:rPr>
                <w:color w:val="000000"/>
                <w:sz w:val="20"/>
              </w:rPr>
              <w:t xml:space="preserve"> дирекции на вътрешните работи, Главна дирекция </w:t>
            </w:r>
            <w:r>
              <w:rPr>
                <w:color w:val="000000"/>
                <w:sz w:val="20"/>
              </w:rPr>
              <w:t>„</w:t>
            </w:r>
            <w:r w:rsidRPr="00AB72A1">
              <w:rPr>
                <w:color w:val="000000"/>
                <w:sz w:val="20"/>
              </w:rPr>
              <w:t>Национална полиция</w:t>
            </w:r>
            <w:r>
              <w:rPr>
                <w:color w:val="000000"/>
                <w:sz w:val="20"/>
              </w:rPr>
              <w:t>“</w:t>
            </w:r>
            <w:r w:rsidRPr="00AB72A1">
              <w:rPr>
                <w:color w:val="000000"/>
                <w:sz w:val="20"/>
              </w:rPr>
              <w:t>, Национален институт по криминал</w:t>
            </w:r>
            <w:r>
              <w:rPr>
                <w:color w:val="000000"/>
                <w:sz w:val="20"/>
              </w:rPr>
              <w:t>истика и 5 регионални дирекции „</w:t>
            </w:r>
            <w:r w:rsidRPr="00AB72A1">
              <w:rPr>
                <w:color w:val="000000"/>
                <w:sz w:val="20"/>
              </w:rPr>
              <w:t>Гранична полиция</w:t>
            </w:r>
            <w:r>
              <w:rPr>
                <w:color w:val="000000"/>
                <w:sz w:val="20"/>
              </w:rPr>
              <w:t>“</w:t>
            </w:r>
            <w:r w:rsidRPr="00AB72A1">
              <w:rPr>
                <w:color w:val="000000"/>
                <w:sz w:val="20"/>
              </w:rPr>
              <w:t>, където ще бъдат създадени звена за контакт</w:t>
            </w:r>
          </w:p>
        </w:tc>
      </w:tr>
      <w:tr w:rsidR="00085591" w14:paraId="06D690D0"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912D99" w14:textId="77777777" w:rsidR="00085591" w:rsidRDefault="00085591" w:rsidP="00235B8B">
            <w:pPr>
              <w:spacing w:before="100"/>
              <w:rPr>
                <w:color w:val="000000"/>
                <w:sz w:val="20"/>
              </w:rPr>
            </w:pPr>
            <w:r>
              <w:rPr>
                <w:color w:val="000000"/>
                <w:sz w:val="20"/>
              </w:rPr>
              <w:lastRenderedPageBreak/>
              <w:t>R.2.9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8F3434" w14:textId="77777777" w:rsidR="00085591" w:rsidRDefault="00085591" w:rsidP="00235B8B">
            <w:pPr>
              <w:spacing w:before="100"/>
              <w:rPr>
                <w:color w:val="000000"/>
                <w:sz w:val="20"/>
              </w:rPr>
            </w:pPr>
            <w:r w:rsidRPr="00BF7915">
              <w:rPr>
                <w:color w:val="000000"/>
                <w:sz w:val="20"/>
              </w:rPr>
              <w:t>Брой служители, участвали в трансгранични операции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D27EC3" w14:textId="77777777" w:rsidR="00085591" w:rsidRDefault="00085591" w:rsidP="00235B8B">
            <w:pPr>
              <w:spacing w:before="100"/>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55F0CE" w14:textId="77777777" w:rsidR="00085591" w:rsidRDefault="00085591" w:rsidP="00235B8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03F33D" w14:textId="77777777" w:rsidR="00085591" w:rsidRDefault="00085591"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975448" w14:textId="77777777" w:rsidR="00085591" w:rsidRDefault="00085591" w:rsidP="00235B8B">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894849" w14:textId="77777777" w:rsidR="00085591" w:rsidRDefault="00085591" w:rsidP="00235B8B">
            <w:pPr>
              <w:spacing w:before="100"/>
              <w:jc w:val="center"/>
              <w:rPr>
                <w:color w:val="000000"/>
                <w:sz w:val="20"/>
              </w:rPr>
            </w:pPr>
            <w:r>
              <w:rPr>
                <w:color w:val="000000"/>
                <w:sz w:val="20"/>
              </w:rPr>
              <w:t>111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A71B92" w14:textId="77777777" w:rsidR="00085591" w:rsidRDefault="00085591"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D97E09" w14:textId="77777777" w:rsidR="00085591" w:rsidRDefault="00085591" w:rsidP="00235B8B">
            <w:pPr>
              <w:spacing w:before="100"/>
              <w:rPr>
                <w:color w:val="000000"/>
                <w:sz w:val="20"/>
              </w:rPr>
            </w:pPr>
            <w:r>
              <w:rPr>
                <w:color w:val="000000"/>
                <w:sz w:val="20"/>
              </w:rPr>
              <w:t>Статистика на ГДБОП и ДВС</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C522D8" w14:textId="77777777" w:rsidR="00085591" w:rsidRDefault="00085591" w:rsidP="00235B8B">
            <w:pPr>
              <w:spacing w:before="100"/>
              <w:rPr>
                <w:color w:val="000000"/>
                <w:sz w:val="20"/>
              </w:rPr>
            </w:pPr>
            <w:r w:rsidRPr="00AB72A1">
              <w:rPr>
                <w:color w:val="000000"/>
                <w:sz w:val="20"/>
              </w:rPr>
              <w:t>ГДБОП разполага с официална статистика за броя на операциите, а не за броя на участващите длъжностни лица. Трудно е да се предоставят доказателства за отчитането на показателя, тъй като повечето операции съдържат класифицирана информация</w:t>
            </w:r>
          </w:p>
        </w:tc>
      </w:tr>
      <w:tr w:rsidR="00085591" w14:paraId="0C307139"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7E34F4" w14:textId="77777777" w:rsidR="00085591" w:rsidRDefault="00085591" w:rsidP="00235B8B">
            <w:pPr>
              <w:spacing w:before="100"/>
              <w:rPr>
                <w:color w:val="000000"/>
                <w:sz w:val="20"/>
              </w:rPr>
            </w:pPr>
            <w:r>
              <w:rPr>
                <w:color w:val="000000"/>
                <w:sz w:val="20"/>
              </w:rPr>
              <w:t>R.2.10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C27A17" w14:textId="77777777" w:rsidR="00085591" w:rsidRDefault="00085591" w:rsidP="00235B8B">
            <w:pPr>
              <w:spacing w:before="100"/>
              <w:rPr>
                <w:color w:val="000000"/>
                <w:sz w:val="20"/>
              </w:rPr>
            </w:pPr>
            <w:r w:rsidRPr="00BF7915">
              <w:rPr>
                <w:color w:val="000000"/>
                <w:sz w:val="20"/>
              </w:rPr>
              <w:t>Брой изпълнени препоръки в рамките на оценката по Шенген</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D28B2A" w14:textId="77777777" w:rsidR="00085591" w:rsidRDefault="00085591" w:rsidP="00235B8B">
            <w:pPr>
              <w:spacing w:before="100"/>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3196AF" w14:textId="77777777" w:rsidR="00085591" w:rsidRDefault="00085591" w:rsidP="00235B8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6E9BE8" w14:textId="77777777" w:rsidR="00085591" w:rsidRDefault="00085591"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5FCF14" w14:textId="77777777" w:rsidR="00085591" w:rsidRDefault="00085591" w:rsidP="00235B8B">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97E3CC" w14:textId="77777777" w:rsidR="00085591" w:rsidRDefault="00085591" w:rsidP="00235B8B">
            <w:pPr>
              <w:spacing w:before="100"/>
              <w:jc w:val="center"/>
              <w:rPr>
                <w:color w:val="000000"/>
                <w:sz w:val="20"/>
              </w:rPr>
            </w:pPr>
            <w:r>
              <w:rPr>
                <w:color w:val="000000"/>
                <w:sz w:val="20"/>
              </w:rPr>
              <w:t>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ABF10" w14:textId="77777777" w:rsidR="00085591" w:rsidRDefault="00085591" w:rsidP="00235B8B">
            <w:pPr>
              <w:spacing w:before="100"/>
              <w:jc w:val="right"/>
              <w:rPr>
                <w:color w:val="000000"/>
                <w:sz w:val="20"/>
              </w:rPr>
            </w:pPr>
            <w:r>
              <w:rPr>
                <w:color w:val="000000"/>
                <w:sz w:val="20"/>
              </w:rPr>
              <w:t>процент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5073E6" w14:textId="77777777" w:rsidR="00085591" w:rsidRDefault="00085591" w:rsidP="00235B8B">
            <w:pPr>
              <w:spacing w:before="100"/>
              <w:rPr>
                <w:color w:val="000000"/>
                <w:sz w:val="20"/>
              </w:rPr>
            </w:pPr>
            <w:r>
              <w:rPr>
                <w:color w:val="000000"/>
                <w:sz w:val="20"/>
              </w:rPr>
              <w:t>Отчети по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7B0309" w14:textId="77777777" w:rsidR="00085591" w:rsidRDefault="00085591" w:rsidP="00235B8B">
            <w:pPr>
              <w:spacing w:before="100"/>
              <w:rPr>
                <w:color w:val="000000"/>
                <w:sz w:val="20"/>
              </w:rPr>
            </w:pPr>
          </w:p>
        </w:tc>
      </w:tr>
    </w:tbl>
    <w:p w14:paraId="39746256" w14:textId="77777777" w:rsidR="00085591" w:rsidRPr="00085591" w:rsidRDefault="00085591" w:rsidP="00085591"/>
    <w:p w14:paraId="40ED53C9" w14:textId="77777777" w:rsidR="00A77B3E" w:rsidRDefault="00A77B3E">
      <w:pPr>
        <w:spacing w:before="100"/>
        <w:rPr>
          <w:color w:val="000000"/>
          <w:sz w:val="0"/>
        </w:rPr>
      </w:pPr>
    </w:p>
    <w:p w14:paraId="3D4957DF" w14:textId="77777777" w:rsidR="00A77B3E" w:rsidRDefault="00A77B3E">
      <w:pPr>
        <w:spacing w:before="100"/>
        <w:rPr>
          <w:color w:val="000000"/>
          <w:sz w:val="20"/>
        </w:rPr>
        <w:sectPr w:rsidR="00A77B3E">
          <w:headerReference w:type="even" r:id="rId35"/>
          <w:headerReference w:type="default" r:id="rId36"/>
          <w:footerReference w:type="even" r:id="rId37"/>
          <w:footerReference w:type="default" r:id="rId38"/>
          <w:headerReference w:type="first" r:id="rId39"/>
          <w:footerReference w:type="first" r:id="rId40"/>
          <w:pgSz w:w="16838" w:h="11906" w:orient="landscape"/>
          <w:pgMar w:top="720" w:right="720" w:bottom="864" w:left="936" w:header="288" w:footer="72" w:gutter="0"/>
          <w:cols w:space="720"/>
          <w:noEndnote/>
          <w:docGrid w:linePitch="360"/>
        </w:sectPr>
      </w:pPr>
    </w:p>
    <w:p w14:paraId="41BCD177" w14:textId="77777777" w:rsidR="00A77B3E" w:rsidRDefault="00E62050">
      <w:pPr>
        <w:spacing w:before="100"/>
        <w:rPr>
          <w:color w:val="000000"/>
          <w:sz w:val="0"/>
        </w:rPr>
      </w:pPr>
      <w:r>
        <w:rPr>
          <w:color w:val="000000"/>
        </w:rPr>
        <w:lastRenderedPageBreak/>
        <w:t xml:space="preserve">2.1. </w:t>
      </w:r>
      <w:r w:rsidR="006C7331" w:rsidRPr="006C7331">
        <w:rPr>
          <w:color w:val="000000"/>
        </w:rPr>
        <w:t>Специфична цел 2: Трансгранично сътрудничество</w:t>
      </w:r>
    </w:p>
    <w:p w14:paraId="03BC98B4" w14:textId="77777777" w:rsidR="00A77B3E" w:rsidRDefault="00E62050">
      <w:pPr>
        <w:pStyle w:val="Heading3"/>
        <w:spacing w:before="100" w:after="0"/>
        <w:rPr>
          <w:rFonts w:ascii="Times New Roman" w:hAnsi="Times New Roman" w:cs="Times New Roman"/>
          <w:b w:val="0"/>
          <w:color w:val="000000"/>
          <w:sz w:val="24"/>
        </w:rPr>
      </w:pPr>
      <w:bookmarkStart w:id="16" w:name="_Toc129599288"/>
      <w:r>
        <w:rPr>
          <w:rFonts w:ascii="Times New Roman" w:hAnsi="Times New Roman" w:cs="Times New Roman"/>
          <w:b w:val="0"/>
          <w:color w:val="000000"/>
          <w:sz w:val="24"/>
        </w:rPr>
        <w:t xml:space="preserve">2.1.3. </w:t>
      </w:r>
      <w:r w:rsidR="006C7331" w:rsidRPr="006C7331">
        <w:rPr>
          <w:rFonts w:ascii="Times New Roman" w:hAnsi="Times New Roman" w:cs="Times New Roman"/>
          <w:b w:val="0"/>
          <w:color w:val="000000"/>
          <w:sz w:val="24"/>
        </w:rPr>
        <w:t>Индикативна разбивка на ресурсите по програмата (ЕС) по вид интервенция</w:t>
      </w:r>
      <w:bookmarkEnd w:id="16"/>
    </w:p>
    <w:p w14:paraId="753AD607" w14:textId="77777777" w:rsidR="00A77B3E" w:rsidRDefault="006C7331">
      <w:pPr>
        <w:spacing w:before="100"/>
        <w:rPr>
          <w:color w:val="000000"/>
        </w:rPr>
      </w:pPr>
      <w:r w:rsidRPr="006C7331">
        <w:rPr>
          <w:color w:val="000000"/>
        </w:rPr>
        <w:t>Основание: член 22, параграф 5 от РОР и член 16, параграф 12 от Регламента за ФУМИ, член 13, параграф 12 от Регламента за ФВС или член 13, параграф 18 от Регламента за ИУГВП</w:t>
      </w:r>
    </w:p>
    <w:p w14:paraId="6D31C3ED" w14:textId="77777777" w:rsidR="00A77B3E" w:rsidRDefault="006C7331">
      <w:pPr>
        <w:pStyle w:val="Heading4"/>
        <w:spacing w:before="100" w:after="0"/>
        <w:rPr>
          <w:b w:val="0"/>
          <w:color w:val="000000"/>
          <w:sz w:val="24"/>
        </w:rPr>
      </w:pPr>
      <w:bookmarkStart w:id="17" w:name="_Toc129599289"/>
      <w:r w:rsidRPr="006C7331">
        <w:rPr>
          <w:b w:val="0"/>
          <w:color w:val="000000"/>
          <w:sz w:val="24"/>
        </w:rPr>
        <w:t>Таблица 3: Индикативна разбивка</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1260"/>
        <w:gridCol w:w="2339"/>
      </w:tblGrid>
      <w:tr w:rsidR="006C7331" w14:paraId="010788F3" w14:textId="77777777" w:rsidTr="00235B8B">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363ED4" w14:textId="77777777" w:rsidR="006C7331" w:rsidRDefault="006C7331" w:rsidP="00235B8B">
            <w:pPr>
              <w:spacing w:before="100"/>
              <w:rPr>
                <w:color w:val="000000"/>
                <w:sz w:val="20"/>
              </w:rPr>
            </w:pPr>
            <w:r w:rsidRPr="009B0331">
              <w:rPr>
                <w:color w:val="000000"/>
                <w:sz w:val="20"/>
              </w:rPr>
              <w:t>Вид интервенция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51BDE" w14:textId="77777777" w:rsidR="006C7331" w:rsidRDefault="006C7331" w:rsidP="00235B8B">
            <w:pPr>
              <w:spacing w:before="100"/>
              <w:rPr>
                <w:color w:val="000000"/>
                <w:sz w:val="20"/>
              </w:rPr>
            </w:pPr>
            <w:r>
              <w:rPr>
                <w:color w:val="000000"/>
                <w:sz w:val="20"/>
              </w:rPr>
              <w:t>Код</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DAC6C0" w14:textId="77777777" w:rsidR="006C7331" w:rsidRDefault="006C7331" w:rsidP="00235B8B">
            <w:pPr>
              <w:spacing w:before="100"/>
              <w:jc w:val="right"/>
              <w:rPr>
                <w:color w:val="000000"/>
                <w:sz w:val="20"/>
              </w:rPr>
            </w:pPr>
            <w:r w:rsidRPr="009B0331">
              <w:rPr>
                <w:color w:val="000000"/>
                <w:sz w:val="20"/>
              </w:rPr>
              <w:t>Индикативна сума (в евро)</w:t>
            </w:r>
          </w:p>
        </w:tc>
      </w:tr>
      <w:tr w:rsidR="006C7331" w14:paraId="0E9BBB40"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1D738C" w14:textId="77777777" w:rsidR="006C7331" w:rsidRDefault="006C7331"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E68E37" w14:textId="77777777" w:rsidR="006C7331" w:rsidRDefault="006C7331" w:rsidP="00235B8B">
            <w:pPr>
              <w:spacing w:before="100"/>
              <w:rPr>
                <w:color w:val="000000"/>
                <w:sz w:val="20"/>
              </w:rPr>
            </w:pPr>
            <w:r>
              <w:rPr>
                <w:color w:val="000000"/>
                <w:sz w:val="20"/>
              </w:rPr>
              <w:t>001.</w:t>
            </w:r>
            <w:r>
              <w:t xml:space="preserve"> </w:t>
            </w:r>
            <w:r w:rsidRPr="00C4274F">
              <w:rPr>
                <w:color w:val="000000"/>
                <w:sz w:val="20"/>
              </w:rPr>
              <w:t>Системи на ИКТ, оперативна съвместимост, качество на данните (без оборудване)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EA967B" w14:textId="46461BC7" w:rsidR="006C7331" w:rsidRPr="004E5822" w:rsidRDefault="001E2F4C" w:rsidP="00235B8B">
            <w:pPr>
              <w:spacing w:before="100"/>
              <w:jc w:val="right"/>
              <w:rPr>
                <w:color w:val="000000"/>
                <w:sz w:val="20"/>
                <w:szCs w:val="20"/>
              </w:rPr>
            </w:pPr>
            <w:r>
              <w:rPr>
                <w:sz w:val="20"/>
                <w:szCs w:val="20"/>
              </w:rPr>
              <w:t>528 328,22</w:t>
            </w:r>
          </w:p>
        </w:tc>
      </w:tr>
      <w:tr w:rsidR="006C7331" w14:paraId="3A38D72A"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6B37DB" w14:textId="77777777" w:rsidR="006C7331" w:rsidRDefault="006C7331"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4A897A" w14:textId="77777777" w:rsidR="006C7331" w:rsidRDefault="006C7331" w:rsidP="00235B8B">
            <w:pPr>
              <w:spacing w:before="100"/>
              <w:rPr>
                <w:color w:val="000000"/>
                <w:sz w:val="20"/>
              </w:rPr>
            </w:pPr>
            <w:r>
              <w:rPr>
                <w:color w:val="000000"/>
                <w:sz w:val="20"/>
              </w:rPr>
              <w:t>002.</w:t>
            </w:r>
            <w:r>
              <w:t xml:space="preserve"> </w:t>
            </w:r>
            <w:r w:rsidRPr="00C4274F">
              <w:rPr>
                <w:color w:val="000000"/>
                <w:sz w:val="20"/>
              </w:rPr>
              <w:t>Мрежи, центрове за високи постижения, структури за сътрудничество, съвместни действия и операции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88DAA6" w14:textId="0744ED65" w:rsidR="006C7331" w:rsidRPr="004E5822" w:rsidRDefault="001E2F4C" w:rsidP="00235B8B">
            <w:pPr>
              <w:spacing w:before="100"/>
              <w:jc w:val="right"/>
              <w:rPr>
                <w:color w:val="000000"/>
                <w:sz w:val="20"/>
                <w:szCs w:val="20"/>
              </w:rPr>
            </w:pPr>
            <w:r>
              <w:rPr>
                <w:sz w:val="20"/>
                <w:szCs w:val="20"/>
              </w:rPr>
              <w:t>26 771,84</w:t>
            </w:r>
          </w:p>
        </w:tc>
      </w:tr>
      <w:tr w:rsidR="006C7331" w14:paraId="5F046C96"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A33D53" w14:textId="77777777" w:rsidR="006C7331" w:rsidRDefault="006C7331"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74758A" w14:textId="77777777" w:rsidR="006C7331" w:rsidRDefault="006C7331" w:rsidP="00235B8B">
            <w:pPr>
              <w:spacing w:before="100"/>
              <w:rPr>
                <w:color w:val="000000"/>
                <w:sz w:val="20"/>
              </w:rPr>
            </w:pPr>
            <w:r>
              <w:rPr>
                <w:color w:val="000000"/>
                <w:sz w:val="20"/>
              </w:rPr>
              <w:t>003.</w:t>
            </w:r>
            <w:r>
              <w:t xml:space="preserve"> </w:t>
            </w:r>
            <w:r w:rsidRPr="00C4274F">
              <w:rPr>
                <w:color w:val="000000"/>
                <w:sz w:val="20"/>
              </w:rPr>
              <w:t>Съвместни екипи за разследване (СЕР) или други съвместни операции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CE078D" w14:textId="65E614BB" w:rsidR="006C7331" w:rsidRPr="004E5822" w:rsidRDefault="001E2F4C" w:rsidP="00235B8B">
            <w:pPr>
              <w:spacing w:before="100"/>
              <w:jc w:val="right"/>
              <w:rPr>
                <w:color w:val="000000"/>
                <w:sz w:val="20"/>
                <w:szCs w:val="20"/>
              </w:rPr>
            </w:pPr>
            <w:r>
              <w:rPr>
                <w:sz w:val="20"/>
                <w:szCs w:val="20"/>
              </w:rPr>
              <w:t>327 801,92</w:t>
            </w:r>
          </w:p>
        </w:tc>
      </w:tr>
      <w:tr w:rsidR="006C7331" w14:paraId="0158284E"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C69174" w14:textId="77777777" w:rsidR="006C7331" w:rsidRDefault="006C7331"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C6FC9D" w14:textId="77777777" w:rsidR="006C7331" w:rsidRDefault="006C7331" w:rsidP="00235B8B">
            <w:pPr>
              <w:spacing w:before="100"/>
              <w:rPr>
                <w:color w:val="000000"/>
                <w:sz w:val="20"/>
              </w:rPr>
            </w:pPr>
            <w:r>
              <w:rPr>
                <w:color w:val="000000"/>
                <w:sz w:val="20"/>
              </w:rPr>
              <w:t xml:space="preserve">004. </w:t>
            </w:r>
            <w:r w:rsidRPr="00C4274F">
              <w:rPr>
                <w:color w:val="000000"/>
                <w:sz w:val="20"/>
              </w:rPr>
              <w:t>Командироване или изпращане на експерти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D5D4FA" w14:textId="55BAC6C3" w:rsidR="006C7331" w:rsidRPr="004E5822" w:rsidRDefault="001E2F4C" w:rsidP="00235B8B">
            <w:pPr>
              <w:spacing w:before="100"/>
              <w:jc w:val="right"/>
              <w:rPr>
                <w:color w:val="000000"/>
                <w:sz w:val="20"/>
                <w:szCs w:val="20"/>
              </w:rPr>
            </w:pPr>
            <w:r>
              <w:rPr>
                <w:sz w:val="20"/>
                <w:szCs w:val="20"/>
              </w:rPr>
              <w:t>341 362, 59</w:t>
            </w:r>
          </w:p>
        </w:tc>
      </w:tr>
      <w:tr w:rsidR="006C7331" w14:paraId="32E89D60"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0EF5A1" w14:textId="77777777" w:rsidR="006C7331" w:rsidRPr="009E16C5" w:rsidRDefault="006C7331"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1EB4C" w14:textId="77777777" w:rsidR="006C7331" w:rsidRPr="009E16C5" w:rsidRDefault="006C7331" w:rsidP="00235B8B">
            <w:pPr>
              <w:spacing w:before="100"/>
              <w:rPr>
                <w:color w:val="000000"/>
                <w:sz w:val="20"/>
              </w:rPr>
            </w:pPr>
            <w:r w:rsidRPr="009E16C5">
              <w:rPr>
                <w:color w:val="000000"/>
                <w:sz w:val="20"/>
              </w:rPr>
              <w:t>005.</w:t>
            </w:r>
            <w:r>
              <w:t xml:space="preserve"> </w:t>
            </w:r>
            <w:r w:rsidRPr="00C4274F">
              <w:rPr>
                <w:color w:val="000000"/>
                <w:sz w:val="20"/>
              </w:rPr>
              <w:t>Обучение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DC7E5D" w14:textId="4E7E2100" w:rsidR="006C7331" w:rsidRPr="004E5822" w:rsidRDefault="001E2F4C" w:rsidP="00235B8B">
            <w:pPr>
              <w:spacing w:before="100"/>
              <w:jc w:val="right"/>
              <w:rPr>
                <w:color w:val="000000"/>
                <w:sz w:val="20"/>
                <w:szCs w:val="20"/>
              </w:rPr>
            </w:pPr>
            <w:r>
              <w:rPr>
                <w:sz w:val="20"/>
                <w:szCs w:val="20"/>
              </w:rPr>
              <w:t>249 024, 68</w:t>
            </w:r>
          </w:p>
        </w:tc>
      </w:tr>
      <w:tr w:rsidR="006C7331" w14:paraId="0B37C8D7"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EA372E" w14:textId="77777777" w:rsidR="006C7331" w:rsidRDefault="006C7331"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53A83E" w14:textId="77777777" w:rsidR="006C7331" w:rsidRDefault="006C7331" w:rsidP="00235B8B">
            <w:pPr>
              <w:spacing w:before="100"/>
              <w:rPr>
                <w:color w:val="000000"/>
                <w:sz w:val="20"/>
              </w:rPr>
            </w:pPr>
            <w:r>
              <w:rPr>
                <w:color w:val="000000"/>
                <w:sz w:val="20"/>
              </w:rPr>
              <w:t xml:space="preserve">006. </w:t>
            </w:r>
            <w:r w:rsidRPr="00C4274F">
              <w:rPr>
                <w:color w:val="000000"/>
                <w:sz w:val="20"/>
              </w:rPr>
              <w:t>Обмен на добри практики, семинари, конференции, събития, кампании за повишаване на осведомеността, комуникационни дейности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6A25C5" w14:textId="79DC98B1" w:rsidR="006C7331" w:rsidRPr="004E5822" w:rsidRDefault="001E2F4C" w:rsidP="00235B8B">
            <w:pPr>
              <w:spacing w:before="100"/>
              <w:jc w:val="right"/>
              <w:rPr>
                <w:color w:val="000000"/>
                <w:sz w:val="20"/>
                <w:szCs w:val="20"/>
              </w:rPr>
            </w:pPr>
            <w:r>
              <w:rPr>
                <w:sz w:val="20"/>
                <w:szCs w:val="20"/>
              </w:rPr>
              <w:t>226 986, 61</w:t>
            </w:r>
          </w:p>
        </w:tc>
      </w:tr>
      <w:tr w:rsidR="006C7331" w14:paraId="214A5356"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20A483" w14:textId="77777777" w:rsidR="006C7331" w:rsidRDefault="006C7331"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542F92" w14:textId="77777777" w:rsidR="006C7331" w:rsidRDefault="006C7331" w:rsidP="00235B8B">
            <w:pPr>
              <w:spacing w:before="100"/>
              <w:rPr>
                <w:color w:val="000000"/>
                <w:sz w:val="20"/>
              </w:rPr>
            </w:pPr>
            <w:r>
              <w:rPr>
                <w:color w:val="000000"/>
                <w:sz w:val="20"/>
              </w:rPr>
              <w:t>007.</w:t>
            </w:r>
            <w:r>
              <w:t xml:space="preserve"> </w:t>
            </w:r>
            <w:r w:rsidRPr="00C4274F">
              <w:rPr>
                <w:color w:val="000000"/>
                <w:sz w:val="20"/>
              </w:rPr>
              <w:t>Изследвания, пилотни проекти, оценки на риска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B1E928" w14:textId="77777777" w:rsidR="006C7331" w:rsidRPr="004E5822" w:rsidRDefault="006C7331" w:rsidP="00235B8B">
            <w:pPr>
              <w:spacing w:before="100"/>
              <w:jc w:val="right"/>
              <w:rPr>
                <w:color w:val="000000"/>
                <w:sz w:val="20"/>
                <w:szCs w:val="20"/>
              </w:rPr>
            </w:pPr>
            <w:r w:rsidRPr="004E5822">
              <w:rPr>
                <w:sz w:val="20"/>
                <w:szCs w:val="20"/>
              </w:rPr>
              <w:t>22</w:t>
            </w:r>
            <w:r>
              <w:rPr>
                <w:sz w:val="20"/>
                <w:szCs w:val="20"/>
              </w:rPr>
              <w:t> </w:t>
            </w:r>
            <w:r w:rsidRPr="004E5822">
              <w:rPr>
                <w:sz w:val="20"/>
                <w:szCs w:val="20"/>
              </w:rPr>
              <w:t>500</w:t>
            </w:r>
            <w:r>
              <w:rPr>
                <w:sz w:val="20"/>
                <w:szCs w:val="20"/>
              </w:rPr>
              <w:t>,</w:t>
            </w:r>
            <w:r w:rsidRPr="004E5822">
              <w:rPr>
                <w:sz w:val="20"/>
                <w:szCs w:val="20"/>
              </w:rPr>
              <w:t>00</w:t>
            </w:r>
          </w:p>
        </w:tc>
      </w:tr>
      <w:tr w:rsidR="006C7331" w14:paraId="41EEE8AF"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6BDFBD" w14:textId="77777777" w:rsidR="006C7331" w:rsidRDefault="006C7331"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329CE" w14:textId="77777777" w:rsidR="006C7331" w:rsidRDefault="006C7331" w:rsidP="00235B8B">
            <w:pPr>
              <w:spacing w:before="100"/>
              <w:rPr>
                <w:color w:val="000000"/>
                <w:sz w:val="20"/>
              </w:rPr>
            </w:pPr>
            <w:r>
              <w:rPr>
                <w:color w:val="000000"/>
                <w:sz w:val="20"/>
              </w:rPr>
              <w:t xml:space="preserve">008. </w:t>
            </w:r>
            <w:r w:rsidRPr="00C4274F">
              <w:rPr>
                <w:color w:val="000000"/>
                <w:sz w:val="20"/>
              </w:rPr>
              <w:t>Оборудване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179D00" w14:textId="4818F4A1" w:rsidR="006C7331" w:rsidRPr="004E5822" w:rsidRDefault="001E2F4C" w:rsidP="00235B8B">
            <w:pPr>
              <w:spacing w:before="100"/>
              <w:jc w:val="right"/>
              <w:rPr>
                <w:color w:val="000000"/>
                <w:sz w:val="20"/>
                <w:szCs w:val="20"/>
              </w:rPr>
            </w:pPr>
            <w:r>
              <w:rPr>
                <w:sz w:val="20"/>
                <w:szCs w:val="20"/>
              </w:rPr>
              <w:t>668 140, 17</w:t>
            </w:r>
          </w:p>
        </w:tc>
      </w:tr>
      <w:tr w:rsidR="006C7331" w14:paraId="0501A003"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6159B2" w14:textId="77777777" w:rsidR="006C7331" w:rsidRDefault="006C7331"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BAA629" w14:textId="77777777" w:rsidR="006C7331" w:rsidRDefault="006C7331" w:rsidP="00235B8B">
            <w:pPr>
              <w:spacing w:before="100"/>
              <w:rPr>
                <w:color w:val="000000"/>
                <w:sz w:val="20"/>
              </w:rPr>
            </w:pPr>
            <w:r>
              <w:rPr>
                <w:color w:val="000000"/>
                <w:sz w:val="20"/>
              </w:rPr>
              <w:t>009.</w:t>
            </w:r>
            <w:r>
              <w:t xml:space="preserve"> </w:t>
            </w:r>
            <w:r w:rsidRPr="00C4274F">
              <w:rPr>
                <w:color w:val="000000"/>
                <w:sz w:val="20"/>
              </w:rPr>
              <w:t>Транспортни средства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85119D" w14:textId="77777777" w:rsidR="006C7331" w:rsidRPr="004E5822" w:rsidRDefault="006C7331" w:rsidP="00235B8B">
            <w:pPr>
              <w:spacing w:before="100"/>
              <w:jc w:val="right"/>
              <w:rPr>
                <w:color w:val="000000"/>
                <w:sz w:val="20"/>
                <w:szCs w:val="20"/>
              </w:rPr>
            </w:pPr>
            <w:r w:rsidRPr="004E5822">
              <w:rPr>
                <w:sz w:val="20"/>
                <w:szCs w:val="20"/>
              </w:rPr>
              <w:t>958</w:t>
            </w:r>
            <w:r>
              <w:rPr>
                <w:sz w:val="20"/>
                <w:szCs w:val="20"/>
              </w:rPr>
              <w:t> </w:t>
            </w:r>
            <w:r w:rsidRPr="004E5822">
              <w:rPr>
                <w:sz w:val="20"/>
                <w:szCs w:val="20"/>
              </w:rPr>
              <w:t>500</w:t>
            </w:r>
            <w:r>
              <w:rPr>
                <w:sz w:val="20"/>
                <w:szCs w:val="20"/>
              </w:rPr>
              <w:t>,</w:t>
            </w:r>
            <w:r w:rsidRPr="004E5822">
              <w:rPr>
                <w:sz w:val="20"/>
                <w:szCs w:val="20"/>
              </w:rPr>
              <w:t>00</w:t>
            </w:r>
          </w:p>
        </w:tc>
      </w:tr>
      <w:tr w:rsidR="006C7331" w14:paraId="3B3E081F"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6453C1" w14:textId="77777777" w:rsidR="006C7331" w:rsidRDefault="006C7331"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EDE396" w14:textId="77777777" w:rsidR="006C7331" w:rsidRDefault="006C7331" w:rsidP="00235B8B">
            <w:pPr>
              <w:spacing w:before="100"/>
              <w:rPr>
                <w:color w:val="000000"/>
                <w:sz w:val="20"/>
              </w:rPr>
            </w:pPr>
            <w:r>
              <w:rPr>
                <w:color w:val="000000"/>
                <w:sz w:val="20"/>
              </w:rPr>
              <w:t>010.</w:t>
            </w:r>
            <w:r>
              <w:t xml:space="preserve"> </w:t>
            </w:r>
            <w:r w:rsidRPr="00C4274F">
              <w:rPr>
                <w:color w:val="000000"/>
                <w:sz w:val="20"/>
              </w:rPr>
              <w:t>Сгради, съоръжения</w:t>
            </w:r>
            <w: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40CE7A" w14:textId="77777777" w:rsidR="006C7331" w:rsidRPr="004E5822" w:rsidRDefault="006C7331" w:rsidP="00235B8B">
            <w:pPr>
              <w:spacing w:before="100"/>
              <w:jc w:val="right"/>
              <w:rPr>
                <w:color w:val="000000"/>
                <w:sz w:val="20"/>
                <w:szCs w:val="20"/>
              </w:rPr>
            </w:pPr>
            <w:r w:rsidRPr="004E5822">
              <w:rPr>
                <w:sz w:val="20"/>
                <w:szCs w:val="20"/>
              </w:rPr>
              <w:t>150</w:t>
            </w:r>
            <w:r>
              <w:rPr>
                <w:sz w:val="20"/>
                <w:szCs w:val="20"/>
              </w:rPr>
              <w:t xml:space="preserve"> </w:t>
            </w:r>
            <w:r w:rsidRPr="004E5822">
              <w:rPr>
                <w:sz w:val="20"/>
                <w:szCs w:val="20"/>
              </w:rPr>
              <w:t>000</w:t>
            </w:r>
            <w:r>
              <w:rPr>
                <w:sz w:val="20"/>
                <w:szCs w:val="20"/>
              </w:rPr>
              <w:t>,</w:t>
            </w:r>
            <w:r w:rsidRPr="004E5822">
              <w:rPr>
                <w:sz w:val="20"/>
                <w:szCs w:val="20"/>
              </w:rPr>
              <w:t>00</w:t>
            </w:r>
          </w:p>
        </w:tc>
      </w:tr>
      <w:tr w:rsidR="006C7331" w14:paraId="623798C4"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CA5305" w14:textId="77777777" w:rsidR="006C7331" w:rsidRPr="00A177BA" w:rsidRDefault="006C7331"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DFC4C7" w14:textId="77777777" w:rsidR="006C7331" w:rsidRDefault="006C7331" w:rsidP="00235B8B">
            <w:pPr>
              <w:spacing w:before="100"/>
              <w:rPr>
                <w:color w:val="000000"/>
                <w:sz w:val="20"/>
              </w:rPr>
            </w:pPr>
            <w:r>
              <w:rPr>
                <w:color w:val="000000"/>
                <w:sz w:val="20"/>
              </w:rPr>
              <w:t>0.11.</w:t>
            </w:r>
            <w:r>
              <w:t xml:space="preserve"> </w:t>
            </w:r>
            <w:r>
              <w:rPr>
                <w:color w:val="000000"/>
                <w:sz w:val="20"/>
              </w:rPr>
              <w:t>Внед</w:t>
            </w:r>
            <w:r w:rsidRPr="00C4274F">
              <w:rPr>
                <w:color w:val="000000"/>
                <w:sz w:val="20"/>
              </w:rPr>
              <w:t>ряване или друга форма на последващи действия в резултат на научни проекти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8CD798" w14:textId="77777777" w:rsidR="006C7331" w:rsidRDefault="006C7331" w:rsidP="00235B8B">
            <w:pPr>
              <w:spacing w:before="100"/>
              <w:jc w:val="right"/>
              <w:rPr>
                <w:color w:val="000000"/>
                <w:sz w:val="20"/>
              </w:rPr>
            </w:pPr>
            <w:r>
              <w:rPr>
                <w:color w:val="000000"/>
                <w:sz w:val="20"/>
              </w:rPr>
              <w:t>0,00</w:t>
            </w:r>
          </w:p>
        </w:tc>
      </w:tr>
    </w:tbl>
    <w:p w14:paraId="09EC7A0A" w14:textId="77777777" w:rsidR="006C7331" w:rsidRPr="006C7331" w:rsidRDefault="006C7331" w:rsidP="006C7331"/>
    <w:p w14:paraId="50127526" w14:textId="77777777" w:rsidR="00A77B3E" w:rsidRDefault="00A77B3E">
      <w:pPr>
        <w:spacing w:before="100"/>
        <w:rPr>
          <w:color w:val="000000"/>
          <w:sz w:val="0"/>
        </w:rPr>
      </w:pPr>
    </w:p>
    <w:p w14:paraId="6F251063"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7BF2A125" w14:textId="77777777" w:rsidR="00A77B3E" w:rsidRDefault="00E62050">
      <w:pPr>
        <w:pStyle w:val="Heading2"/>
        <w:spacing w:before="100" w:after="0"/>
        <w:rPr>
          <w:rFonts w:ascii="Times New Roman" w:hAnsi="Times New Roman" w:cs="Times New Roman"/>
          <w:b w:val="0"/>
          <w:i w:val="0"/>
          <w:color w:val="000000"/>
          <w:sz w:val="24"/>
        </w:rPr>
      </w:pPr>
      <w:bookmarkStart w:id="18" w:name="_Toc129599290"/>
      <w:r>
        <w:rPr>
          <w:rFonts w:ascii="Times New Roman" w:hAnsi="Times New Roman" w:cs="Times New Roman"/>
          <w:b w:val="0"/>
          <w:i w:val="0"/>
          <w:color w:val="000000"/>
          <w:sz w:val="24"/>
        </w:rPr>
        <w:lastRenderedPageBreak/>
        <w:t xml:space="preserve">2.1. </w:t>
      </w:r>
      <w:r w:rsidR="00755896" w:rsidRPr="00755896">
        <w:rPr>
          <w:rFonts w:ascii="Times New Roman" w:hAnsi="Times New Roman" w:cs="Times New Roman"/>
          <w:b w:val="0"/>
          <w:i w:val="0"/>
          <w:color w:val="000000"/>
          <w:sz w:val="24"/>
        </w:rPr>
        <w:t>Специфична цел 3: Предотвратяване и борба с престъпността</w:t>
      </w:r>
      <w:bookmarkEnd w:id="18"/>
    </w:p>
    <w:p w14:paraId="261CF9F6" w14:textId="77777777" w:rsidR="00A77B3E" w:rsidRDefault="00A77B3E">
      <w:pPr>
        <w:spacing w:before="100"/>
        <w:rPr>
          <w:color w:val="000000"/>
          <w:sz w:val="0"/>
        </w:rPr>
      </w:pPr>
    </w:p>
    <w:p w14:paraId="40AE0D09" w14:textId="77777777" w:rsidR="00A77B3E" w:rsidRDefault="00E62050">
      <w:pPr>
        <w:pStyle w:val="Heading3"/>
        <w:spacing w:before="100" w:after="0"/>
        <w:rPr>
          <w:rFonts w:ascii="Times New Roman" w:hAnsi="Times New Roman" w:cs="Times New Roman"/>
          <w:b w:val="0"/>
          <w:color w:val="000000"/>
          <w:sz w:val="24"/>
        </w:rPr>
      </w:pPr>
      <w:bookmarkStart w:id="19" w:name="_Toc129599291"/>
      <w:r>
        <w:rPr>
          <w:rFonts w:ascii="Times New Roman" w:hAnsi="Times New Roman" w:cs="Times New Roman"/>
          <w:b w:val="0"/>
          <w:color w:val="000000"/>
          <w:sz w:val="24"/>
        </w:rPr>
        <w:t xml:space="preserve">2.1.1. </w:t>
      </w:r>
      <w:r w:rsidR="00755896" w:rsidRPr="00755896">
        <w:rPr>
          <w:rFonts w:ascii="Times New Roman" w:hAnsi="Times New Roman" w:cs="Times New Roman"/>
          <w:b w:val="0"/>
          <w:color w:val="000000"/>
          <w:sz w:val="24"/>
        </w:rPr>
        <w:t>Описание на специфичната цел</w:t>
      </w:r>
      <w:bookmarkEnd w:id="19"/>
    </w:p>
    <w:p w14:paraId="7036F4B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2F6D49" w:rsidRPr="00805365" w14:paraId="0404E0B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5750FA" w14:textId="77777777" w:rsidR="00A77B3E" w:rsidRDefault="00A77B3E">
            <w:pPr>
              <w:spacing w:before="100"/>
              <w:rPr>
                <w:color w:val="000000"/>
                <w:sz w:val="0"/>
              </w:rPr>
            </w:pPr>
          </w:p>
          <w:p w14:paraId="3BCA2C5C" w14:textId="77777777" w:rsidR="00755896" w:rsidRPr="00755896" w:rsidRDefault="00755896" w:rsidP="00755896">
            <w:pPr>
              <w:spacing w:before="100"/>
              <w:jc w:val="both"/>
              <w:rPr>
                <w:color w:val="000000"/>
                <w:lang w:val="bg-BG"/>
              </w:rPr>
            </w:pPr>
            <w:r w:rsidRPr="00755896">
              <w:rPr>
                <w:color w:val="000000"/>
                <w:lang w:val="bg-BG"/>
              </w:rPr>
              <w:t>През 2019 г. се наблюдава сериозна промяна в средата за сигурност по линия на противодействието на международния тероризъм, екстремизъм, както и финансирането им. В България бяха регистрирани няколко случая, свързани с пряка терористична заплаха. Разбита е престъпна група, оказваща логистична дейност в полза на международни терористични организации. Задържан е български гражданин, за когото са събрани данни, че подготвя терористично нападение под влиянието на идеологията на “Ислямска държава”.</w:t>
            </w:r>
          </w:p>
          <w:p w14:paraId="56149F56" w14:textId="77777777" w:rsidR="00755896" w:rsidRPr="00755896" w:rsidRDefault="00755896" w:rsidP="00755896">
            <w:pPr>
              <w:spacing w:before="100"/>
              <w:jc w:val="both"/>
              <w:rPr>
                <w:color w:val="000000"/>
                <w:lang w:val="bg-BG"/>
              </w:rPr>
            </w:pPr>
            <w:r w:rsidRPr="00755896">
              <w:rPr>
                <w:color w:val="000000"/>
                <w:lang w:val="bg-BG"/>
              </w:rPr>
              <w:t>Докладът на МВР за 2019 г. отбелязва, че са извършени 96 проверки за противодействие на бомбения тероризъм, за да се осигури защита на държавни, правителствени и други събития. Специалните сили отговориха на 8 сигнала за взривове на територията на България.</w:t>
            </w:r>
          </w:p>
          <w:p w14:paraId="70317EE1" w14:textId="77777777" w:rsidR="00755896" w:rsidRPr="00755896" w:rsidRDefault="00755896" w:rsidP="00755896">
            <w:pPr>
              <w:spacing w:before="100"/>
              <w:jc w:val="both"/>
              <w:rPr>
                <w:color w:val="000000"/>
                <w:lang w:val="bg-BG"/>
              </w:rPr>
            </w:pPr>
            <w:r w:rsidRPr="00755896">
              <w:rPr>
                <w:color w:val="000000"/>
                <w:lang w:val="bg-BG"/>
              </w:rPr>
              <w:t>В отговор на засилените терористични заплахи специализираните звена на МВР (първи реагиращи) преминаха много обучения - 200 служители са обучени с подкрепата на НП по ФВС. В рамките на инициативите по линия на АТЛАС беше осъществено взаимодействие с антитерористичните отряди на други ДЧ (съвместни тренировъчни семинари за обмяна на опит, изготвяне на общи процедури за действие в отговор на кризи, предизвикани от човешка дейност и др.).</w:t>
            </w:r>
          </w:p>
          <w:p w14:paraId="35DD795F" w14:textId="77777777" w:rsidR="00755896" w:rsidRPr="00755896" w:rsidRDefault="00755896" w:rsidP="00755896">
            <w:pPr>
              <w:spacing w:before="100"/>
              <w:jc w:val="both"/>
              <w:rPr>
                <w:color w:val="000000"/>
                <w:lang w:val="bg-BG"/>
              </w:rPr>
            </w:pPr>
            <w:r w:rsidRPr="00755896">
              <w:rPr>
                <w:color w:val="000000"/>
                <w:lang w:val="bg-BG"/>
              </w:rPr>
              <w:t xml:space="preserve">За да се отговори адекватно на методите и средствата, използвани от терористичните организации, е необходимо специализираните обучителни програми и инструменти да бъдат модернизирани и разширени, което предполага инвестиции и в обучителните съоръжения и осигуряване на непрекъснат обучителен процес. </w:t>
            </w:r>
          </w:p>
          <w:p w14:paraId="0C860044" w14:textId="77777777" w:rsidR="00755896" w:rsidRPr="00755896" w:rsidRDefault="00755896" w:rsidP="00755896">
            <w:pPr>
              <w:spacing w:before="100"/>
              <w:jc w:val="both"/>
              <w:rPr>
                <w:color w:val="000000"/>
                <w:lang w:val="bg-BG"/>
              </w:rPr>
            </w:pPr>
            <w:r w:rsidRPr="00755896">
              <w:rPr>
                <w:color w:val="000000"/>
                <w:lang w:val="bg-BG"/>
              </w:rPr>
              <w:t>През 2007 г. с имплементирането на Будапещенската конвенция в местното законодателство в отдел „Киберпрестъпност“ на ГДБОП е създадена Национална контактна точка 24/7, служеща за директен контакт между киберексперти в 180 държави. Съгласно ЗКС отдел „Киберпрестъпност“ на ГДБОП е определен за специализиран център по киберпрестъпност на национално ниво.</w:t>
            </w:r>
          </w:p>
          <w:p w14:paraId="0BC4E083" w14:textId="77777777" w:rsidR="00755896" w:rsidRPr="00755896" w:rsidRDefault="00755896" w:rsidP="00755896">
            <w:pPr>
              <w:spacing w:before="100"/>
              <w:jc w:val="both"/>
              <w:rPr>
                <w:color w:val="000000"/>
                <w:lang w:val="bg-BG"/>
              </w:rPr>
            </w:pPr>
            <w:r w:rsidRPr="00755896">
              <w:rPr>
                <w:color w:val="000000"/>
                <w:lang w:val="bg-BG"/>
              </w:rPr>
              <w:t xml:space="preserve">Броят на киберпрестъпленията нарасна с приблизително 35% през 2019 г. в сравнение с 2017 г. </w:t>
            </w:r>
          </w:p>
          <w:p w14:paraId="1AE5B0B9" w14:textId="77777777" w:rsidR="00755896" w:rsidRPr="00755896" w:rsidRDefault="00755896" w:rsidP="00755896">
            <w:pPr>
              <w:spacing w:before="100"/>
              <w:jc w:val="both"/>
              <w:rPr>
                <w:color w:val="000000"/>
                <w:lang w:val="bg-BG"/>
              </w:rPr>
            </w:pPr>
            <w:r w:rsidRPr="00755896">
              <w:rPr>
                <w:color w:val="000000"/>
                <w:lang w:val="bg-BG"/>
              </w:rPr>
              <w:t>През 2019 г. е неутрализирана дейността на 9 ОПГ в областта на киберпрестъпността. Образувани са 125 досъдебни производства, както и 9 досъдебни производства, водени от следовател. Проведени са 64 операции. Изпълнени са 8 МПП и 5 ЕЗР. През 2019 г. са постъпили повече от 2800 преписки по линия на отдела за киберпрестъпност, приключени и изпратени в прокуратурата са 2049 от тях.</w:t>
            </w:r>
          </w:p>
          <w:p w14:paraId="78B96658" w14:textId="77777777" w:rsidR="00755896" w:rsidRPr="00755896" w:rsidRDefault="00755896" w:rsidP="00755896">
            <w:pPr>
              <w:spacing w:before="100"/>
              <w:jc w:val="both"/>
              <w:rPr>
                <w:color w:val="000000"/>
                <w:lang w:val="bg-BG"/>
              </w:rPr>
            </w:pPr>
            <w:r w:rsidRPr="00755896">
              <w:rPr>
                <w:color w:val="000000"/>
                <w:lang w:val="bg-BG"/>
              </w:rPr>
              <w:t xml:space="preserve">В момента няма дигитална лаборатория за изготвяне на компютърно-експертни справки, което създава предпоставки за забавяне на изготвянето на компютърно-технически експертизи и риск от възпрепятстване на ефективното провеждане на разследванията. </w:t>
            </w:r>
          </w:p>
          <w:p w14:paraId="7B98468F" w14:textId="77777777" w:rsidR="00755896" w:rsidRPr="00755896" w:rsidRDefault="00755896" w:rsidP="00755896">
            <w:pPr>
              <w:spacing w:before="100"/>
              <w:jc w:val="both"/>
              <w:rPr>
                <w:color w:val="000000"/>
                <w:lang w:val="bg-BG"/>
              </w:rPr>
            </w:pPr>
            <w:r w:rsidRPr="00755896">
              <w:rPr>
                <w:color w:val="000000"/>
                <w:lang w:val="bg-BG"/>
              </w:rPr>
              <w:t>С цел повишаване на ефективността на превенцията и борбата с киберпрестъпността е необходимо да се предвиди модернизиране на центъра за киберпрестъпност, изграден със средства от настоящата програма. Национални средства ще бъдат използвани за осигуряване на подходящи помещения за центъра. Ще се търси постигането на синергии в рамките на центъра чрез обединяване на ресурси и знания между ДЧ и други участници.</w:t>
            </w:r>
          </w:p>
          <w:p w14:paraId="1BD7E140" w14:textId="77777777" w:rsidR="00755896" w:rsidRPr="00755896" w:rsidRDefault="00755896" w:rsidP="00755896">
            <w:pPr>
              <w:spacing w:before="100"/>
              <w:jc w:val="both"/>
              <w:rPr>
                <w:color w:val="000000"/>
                <w:lang w:val="bg-BG"/>
              </w:rPr>
            </w:pPr>
            <w:r w:rsidRPr="00755896">
              <w:rPr>
                <w:color w:val="000000"/>
                <w:lang w:val="bg-BG"/>
              </w:rPr>
              <w:t>Незаконната миграция, контрабандата на стоки, оръжия и наркотици и трафикът на хора са източник на сериозни заплахи за националната сигурност и значителни икономически загуби. С увеличаването на контрабандните дейности през 2019 г. са регистрирани 122 заявителски материала по Наказателния кодекс, като от тях са образувани 103 досъдебни производства за извършени престъпления. Към наказателна отговорност са привлечени в качеството на обвиняеми 108 лица. От началото на 2020 г. са регистрирани 134 заявителски материала, като от тях са образувани 107 досъдебни производства и 111 души са привлечени към наказателна отговорност. Правени са опити за превеждане на 622 души. Активният и навременен обмен на информация и сътрудничество с партньорски услуги от други държави членки, Европол, Интерпол и Frontex са от решаващо значение за ефективното предотвратяване и противодействие на престъпността през границите.</w:t>
            </w:r>
          </w:p>
          <w:p w14:paraId="43E90D1F" w14:textId="77777777" w:rsidR="00755896" w:rsidRPr="00755896" w:rsidRDefault="00755896" w:rsidP="00755896">
            <w:pPr>
              <w:spacing w:before="100"/>
              <w:jc w:val="both"/>
              <w:rPr>
                <w:color w:val="000000"/>
                <w:lang w:val="bg-BG"/>
              </w:rPr>
            </w:pPr>
            <w:r w:rsidRPr="00755896">
              <w:rPr>
                <w:color w:val="000000"/>
                <w:lang w:val="bg-BG"/>
              </w:rPr>
              <w:lastRenderedPageBreak/>
              <w:t xml:space="preserve">Балканите и по-специално територията на България са ключови региони за международна престъпност, тъй като тяхната територия се използва за трафик и съхранение на наркотици. Продължава износът на кокаин от страните производители към Европа по въздух и по море. Трафикът на марихуана от Македония и Албания към Турция през България и Гърция се е увеличил. Оцетният анхидрид, основният прекурсор за хероина, се внася все повече от Сърбия, Холандия и Белгия в България и Турция. </w:t>
            </w:r>
          </w:p>
          <w:p w14:paraId="5EA932EE" w14:textId="77777777" w:rsidR="00755896" w:rsidRPr="00755896" w:rsidRDefault="00755896" w:rsidP="00755896">
            <w:pPr>
              <w:spacing w:before="100"/>
              <w:jc w:val="both"/>
              <w:rPr>
                <w:color w:val="000000"/>
                <w:lang w:val="bg-BG"/>
              </w:rPr>
            </w:pPr>
            <w:r w:rsidRPr="00755896">
              <w:rPr>
                <w:color w:val="000000"/>
                <w:lang w:val="bg-BG"/>
              </w:rPr>
              <w:t>Напоследък се наблюдава драстичен ръст на пазара на нови психоактивни вещества (НПВ), нови химикали за тяхното производство, начини за трафик и иновации в каналите за дистрибуция, включително Darknet.</w:t>
            </w:r>
          </w:p>
          <w:p w14:paraId="1C13B80B" w14:textId="77777777" w:rsidR="00755896" w:rsidRPr="00755896" w:rsidRDefault="00755896" w:rsidP="00755896">
            <w:pPr>
              <w:spacing w:before="100"/>
              <w:jc w:val="both"/>
              <w:rPr>
                <w:color w:val="000000"/>
                <w:lang w:val="bg-BG"/>
              </w:rPr>
            </w:pPr>
            <w:r w:rsidRPr="00755896">
              <w:rPr>
                <w:color w:val="000000"/>
                <w:lang w:val="bg-BG"/>
              </w:rPr>
              <w:t>Вариацията на молекулите в състава на незаконните НПВ и липсата на напълно оборудвани лаборатории и технически устройства за идентифициране на нови психоактивни вещества, техни метаболити и определянето им в биологични проби затрудняват определянето дали веществото принадлежи към групата на законните или незаконните наркотични вещества. Спецификата на „дизайнерската дрога“ изисква да бъде предоставена предварителна оперативна информация за нейното идентифициране и изземване.</w:t>
            </w:r>
          </w:p>
          <w:p w14:paraId="3B8840D5" w14:textId="77777777" w:rsidR="00755896" w:rsidRPr="00755896" w:rsidRDefault="00755896" w:rsidP="00755896">
            <w:pPr>
              <w:spacing w:before="100"/>
              <w:jc w:val="both"/>
              <w:rPr>
                <w:color w:val="000000"/>
                <w:lang w:val="bg-BG"/>
              </w:rPr>
            </w:pPr>
            <w:r w:rsidRPr="00755896">
              <w:rPr>
                <w:color w:val="000000"/>
                <w:lang w:val="bg-BG"/>
              </w:rPr>
              <w:t>Производството на незаконни наркотици е ситуирано в труднодостъпни райони, което изисква добра мобилност и дистанционно наблюдение.</w:t>
            </w:r>
          </w:p>
          <w:p w14:paraId="752C061D" w14:textId="77777777" w:rsidR="00755896" w:rsidRPr="00755896" w:rsidRDefault="00755896" w:rsidP="00755896">
            <w:pPr>
              <w:spacing w:before="100"/>
              <w:jc w:val="both"/>
              <w:rPr>
                <w:color w:val="000000"/>
                <w:lang w:val="bg-BG"/>
              </w:rPr>
            </w:pPr>
            <w:r w:rsidRPr="00755896">
              <w:rPr>
                <w:color w:val="000000"/>
                <w:lang w:val="bg-BG"/>
              </w:rPr>
              <w:t>Доставката на подходящо оборудване и обучението, свързано с подобряване на криминалистичните умения на служителите, са необходими за предотвратяването и борбата с новите форми на производство и трафик на наркотици.</w:t>
            </w:r>
          </w:p>
          <w:p w14:paraId="34F38577" w14:textId="77777777" w:rsidR="00755896" w:rsidRPr="00755896" w:rsidRDefault="00755896" w:rsidP="00755896">
            <w:pPr>
              <w:spacing w:before="100"/>
              <w:jc w:val="both"/>
              <w:rPr>
                <w:color w:val="000000"/>
                <w:lang w:val="bg-BG"/>
              </w:rPr>
            </w:pPr>
            <w:r w:rsidRPr="00755896">
              <w:rPr>
                <w:color w:val="000000"/>
                <w:lang w:val="bg-BG"/>
              </w:rPr>
              <w:t>Значението на криминалистичните изследвания за досъдебното разследване и наказателното преследване изисква инвестиции в съответното техническо оборудване и технологии, които непрекъснато се развиват.</w:t>
            </w:r>
          </w:p>
          <w:p w14:paraId="7D53F4AD" w14:textId="77777777" w:rsidR="00755896" w:rsidRPr="00755896" w:rsidRDefault="00755896" w:rsidP="00755896">
            <w:pPr>
              <w:spacing w:before="100"/>
              <w:jc w:val="both"/>
              <w:rPr>
                <w:color w:val="000000"/>
                <w:lang w:val="bg-BG"/>
              </w:rPr>
            </w:pPr>
            <w:r w:rsidRPr="00755896">
              <w:rPr>
                <w:color w:val="000000"/>
                <w:lang w:val="bg-BG"/>
              </w:rPr>
              <w:t>Акредитацията на лабораториите по стандарт EN ISO/IEC 17025:2018 (съгласно Рамково решение 2009/905/ПВР на Съвета и Решение 2008/616/ПВР на Съвета) поставя високи изисквания към използваната в тях апаратура, оборудване и по отношение на персонала.  Създаването и развитието на съответната криминалистична инфраструктура, необходима за изготвянето на висококачествени криминалистични изследвания, е определено като изискване към ДЧ в заключенията на Съвета относно Визия за създаване на Европейско криминалистично пространство 2020.</w:t>
            </w:r>
          </w:p>
          <w:p w14:paraId="18DE97DF" w14:textId="77777777" w:rsidR="00755896" w:rsidRPr="00755896" w:rsidRDefault="00755896" w:rsidP="00755896">
            <w:pPr>
              <w:spacing w:before="100"/>
              <w:jc w:val="both"/>
              <w:rPr>
                <w:color w:val="000000"/>
                <w:lang w:val="bg-BG"/>
              </w:rPr>
            </w:pPr>
            <w:r w:rsidRPr="00755896">
              <w:rPr>
                <w:color w:val="000000"/>
                <w:lang w:val="bg-BG"/>
              </w:rPr>
              <w:t xml:space="preserve">По-голямата част от основните технически средства и оборудване на национално ниво бяха подновени с финансиране от ЕС, включително по НП на ФВС. През предстоящия програмен период нововъведената в експлоатация техника ще е с изтекли гаранционни срокове и ще се нуждае от поддръжка. </w:t>
            </w:r>
          </w:p>
          <w:p w14:paraId="2E7505C7" w14:textId="77777777" w:rsidR="00755896" w:rsidRPr="00755896" w:rsidRDefault="00755896" w:rsidP="00755896">
            <w:pPr>
              <w:spacing w:before="100"/>
              <w:jc w:val="both"/>
              <w:rPr>
                <w:color w:val="000000"/>
                <w:lang w:val="bg-BG"/>
              </w:rPr>
            </w:pPr>
            <w:r w:rsidRPr="00755896">
              <w:rPr>
                <w:color w:val="000000"/>
                <w:lang w:val="bg-BG"/>
              </w:rPr>
              <w:t>Годишният брой ДНК изследвания, извършвани на национално ниво, е по-малък в сравнение с този на други страни с подобно население. Капацитетът на ДНК лабораториите трябва да се поддържа и разширява.</w:t>
            </w:r>
          </w:p>
          <w:p w14:paraId="5A6B6CDF" w14:textId="77777777" w:rsidR="00755896" w:rsidRPr="00755896" w:rsidRDefault="00755896" w:rsidP="00755896">
            <w:pPr>
              <w:spacing w:before="100"/>
              <w:jc w:val="both"/>
              <w:rPr>
                <w:color w:val="000000"/>
                <w:lang w:val="bg-BG"/>
              </w:rPr>
            </w:pPr>
            <w:r w:rsidRPr="00755896">
              <w:rPr>
                <w:color w:val="000000"/>
                <w:lang w:val="bg-BG"/>
              </w:rPr>
              <w:t xml:space="preserve">Към настоящия момент в „Картотека полицейска регистрация“ в Главна дирекция „Национална полиция“ се обработват ръчно данни за повече от 800 000 карти от извършени полицейски регистрации, а средногодишно броят на обработваните карти е около 25 000. </w:t>
            </w:r>
          </w:p>
          <w:p w14:paraId="663C8F16" w14:textId="77777777" w:rsidR="00755896" w:rsidRPr="00755896" w:rsidRDefault="00755896" w:rsidP="00755896">
            <w:pPr>
              <w:spacing w:before="100"/>
              <w:jc w:val="both"/>
              <w:rPr>
                <w:color w:val="000000"/>
                <w:lang w:val="bg-BG"/>
              </w:rPr>
            </w:pPr>
            <w:r w:rsidRPr="00755896">
              <w:rPr>
                <w:color w:val="000000"/>
                <w:lang w:val="bg-BG"/>
              </w:rPr>
              <w:t>За повишаване на ефективността и ефикасността на разследванията е необходима дигитализация на процесите по откриване, събиране и изследване на веществени доказателства, на процесите по извършване и съхраняване в цифров формат на събраните данни, както и при извършване на полицейска регистрация на лица, които са привлечени като обвиняеми за извършено умишлено престъпление от общ характер по реда на чл. 68 от ЗМВР от полицейските органи, които са задължени да я извършват.</w:t>
            </w:r>
          </w:p>
          <w:p w14:paraId="3C4A244C" w14:textId="77777777" w:rsidR="00755896" w:rsidRPr="00755896" w:rsidRDefault="00755896" w:rsidP="00755896">
            <w:pPr>
              <w:spacing w:before="100"/>
              <w:jc w:val="both"/>
              <w:rPr>
                <w:color w:val="000000"/>
                <w:lang w:val="bg-BG"/>
              </w:rPr>
            </w:pPr>
            <w:r w:rsidRPr="00755896">
              <w:rPr>
                <w:color w:val="000000"/>
                <w:lang w:val="bg-BG"/>
              </w:rPr>
              <w:t>През последните три години се наблюдава постоянно, съществено увеличаване на постъпващите искания за прилагане на специални разузнавателни средства с цел изготвяне на веществени доказателствени средства в посочените области:</w:t>
            </w:r>
          </w:p>
          <w:p w14:paraId="035F4145" w14:textId="77777777" w:rsidR="00755896" w:rsidRPr="00755896" w:rsidRDefault="00755896" w:rsidP="00755896">
            <w:pPr>
              <w:spacing w:before="100"/>
              <w:jc w:val="both"/>
              <w:rPr>
                <w:color w:val="000000"/>
                <w:lang w:val="bg-BG"/>
              </w:rPr>
            </w:pPr>
            <w:r w:rsidRPr="00755896">
              <w:rPr>
                <w:color w:val="000000"/>
                <w:lang w:val="bg-BG"/>
              </w:rPr>
              <w:lastRenderedPageBreak/>
              <w:t>-</w:t>
            </w:r>
            <w:r w:rsidRPr="00755896">
              <w:rPr>
                <w:color w:val="000000"/>
                <w:lang w:val="bg-BG"/>
              </w:rPr>
              <w:tab/>
              <w:t>по линия на тероризъм, екстремизъм, радикализъм, миграция, трафик на хора, деструктивни действия спрямо стратегически и критични инфраструктури са постъпили искания за СРС: 131 (за 2017), 138 (за 2018) и 173 (за 2019);</w:t>
            </w:r>
          </w:p>
          <w:p w14:paraId="78579661" w14:textId="77777777" w:rsidR="00755896" w:rsidRPr="00755896" w:rsidRDefault="00755896" w:rsidP="00755896">
            <w:pPr>
              <w:spacing w:before="100"/>
              <w:jc w:val="both"/>
              <w:rPr>
                <w:color w:val="000000"/>
                <w:lang w:val="bg-BG"/>
              </w:rPr>
            </w:pPr>
            <w:r w:rsidRPr="00755896">
              <w:rPr>
                <w:color w:val="000000"/>
                <w:lang w:val="bg-BG"/>
              </w:rPr>
              <w:t>-</w:t>
            </w:r>
            <w:r w:rsidRPr="00755896">
              <w:rPr>
                <w:color w:val="000000"/>
                <w:lang w:val="bg-BG"/>
              </w:rPr>
              <w:tab/>
              <w:t>по линия на корупция, икономическата и финансовата сигурност, вътрешна сигурност са постъпи искания за СРС: 71 (за 2017), 223 (за 2018) и 355 (за 2019).</w:t>
            </w:r>
          </w:p>
          <w:p w14:paraId="53310EC8" w14:textId="77777777" w:rsidR="00755896" w:rsidRPr="00755896" w:rsidRDefault="00755896" w:rsidP="00755896">
            <w:pPr>
              <w:spacing w:before="100"/>
              <w:jc w:val="both"/>
              <w:rPr>
                <w:color w:val="000000"/>
                <w:lang w:val="bg-BG"/>
              </w:rPr>
            </w:pPr>
            <w:r w:rsidRPr="00755896">
              <w:rPr>
                <w:color w:val="000000"/>
                <w:lang w:val="bg-BG"/>
              </w:rPr>
              <w:t xml:space="preserve">Според Третия доклад на ЕК за напредъка, постигнат в борбата с трафика на хора, България е сред първите пет държави в ЕС по брой на регистрирани жертви на трафик на хора. Най-разпространената форма е тази с цел сексуална експлоатация, последвана от трафик за трудова експлоатация. В Доклада на ЕК за проучване на трафика на хора в ЕС за 2020 г. (Data collection on trafficking in human beings in the EU) България е сред петте водещи държави в ЕС по брой на регистрираните жертви (507 бр. за периода 2017-2018 г.). </w:t>
            </w:r>
          </w:p>
          <w:p w14:paraId="1C10FF20" w14:textId="77777777" w:rsidR="00755896" w:rsidRPr="00755896" w:rsidRDefault="00755896" w:rsidP="00755896">
            <w:pPr>
              <w:spacing w:before="100"/>
              <w:jc w:val="both"/>
              <w:rPr>
                <w:color w:val="000000"/>
                <w:lang w:val="bg-BG"/>
              </w:rPr>
            </w:pPr>
            <w:r w:rsidRPr="00755896">
              <w:rPr>
                <w:color w:val="000000"/>
                <w:lang w:val="bg-BG"/>
              </w:rPr>
              <w:t>По данни на Върховна касационна прокуратура (ВКП) за 2019 г. броят на пострадалите лица от трафик на хора с цел развратни действия е 280, което е 69,3% от общия брой на пострадалите – 404 лица. Броят на официално пострадалите лица от престъпленията, за които се води разследване за трафик на хора, е 443 през 2018 г.</w:t>
            </w:r>
          </w:p>
          <w:p w14:paraId="53183AC0" w14:textId="77777777" w:rsidR="00755896" w:rsidRPr="00755896" w:rsidRDefault="00755896" w:rsidP="00755896">
            <w:pPr>
              <w:spacing w:before="100"/>
              <w:jc w:val="both"/>
              <w:rPr>
                <w:color w:val="000000"/>
                <w:lang w:val="bg-BG"/>
              </w:rPr>
            </w:pPr>
            <w:r w:rsidRPr="00755896">
              <w:rPr>
                <w:color w:val="000000"/>
                <w:lang w:val="bg-BG"/>
              </w:rPr>
              <w:t>За 2019 г. броят на новообразуваните досъдебни производства се е увеличил с 45% в сравнение с 2018 г. Статистиката показва, че незначително е повишен броят на предадените на съд лица спрямо 2018 г., но прокурорските актове, внесени в съда намаляват от 53 на 41.</w:t>
            </w:r>
          </w:p>
          <w:p w14:paraId="6392C691" w14:textId="77777777" w:rsidR="00755896" w:rsidRPr="00755896" w:rsidRDefault="00755896" w:rsidP="00755896">
            <w:pPr>
              <w:spacing w:before="100"/>
              <w:jc w:val="both"/>
              <w:rPr>
                <w:color w:val="000000"/>
                <w:lang w:val="bg-BG"/>
              </w:rPr>
            </w:pPr>
            <w:r w:rsidRPr="00755896">
              <w:rPr>
                <w:color w:val="000000"/>
                <w:lang w:val="bg-BG"/>
              </w:rPr>
              <w:t>Независимо от наблюдаваните положителни тенденции през предходната година спрямо минали периоди като абсолютна стойност броят на осъдените лица и броят на новообразуваните производства за трафик на хора остава сравнително малък, предвид мащабите на престъплението в национален и европейски план.</w:t>
            </w:r>
          </w:p>
          <w:p w14:paraId="10D89B52" w14:textId="77777777" w:rsidR="00755896" w:rsidRPr="00755896" w:rsidRDefault="00755896" w:rsidP="00755896">
            <w:pPr>
              <w:spacing w:before="100"/>
              <w:jc w:val="both"/>
              <w:rPr>
                <w:color w:val="000000"/>
                <w:lang w:val="bg-BG"/>
              </w:rPr>
            </w:pPr>
            <w:r w:rsidRPr="00755896">
              <w:rPr>
                <w:color w:val="000000"/>
                <w:lang w:val="bg-BG"/>
              </w:rPr>
              <w:t>Трябва да се предвидят повече действия за информиране на уязвимите групи за рисковете, свързани с трафика на хора и начините за тяхното предотвратяване.</w:t>
            </w:r>
          </w:p>
          <w:p w14:paraId="60CB48D1" w14:textId="77777777" w:rsidR="00755896" w:rsidRPr="00755896" w:rsidRDefault="00755896" w:rsidP="00755896">
            <w:pPr>
              <w:spacing w:before="100"/>
              <w:jc w:val="both"/>
              <w:rPr>
                <w:color w:val="000000"/>
                <w:lang w:val="bg-BG"/>
              </w:rPr>
            </w:pPr>
            <w:r w:rsidRPr="00755896">
              <w:rPr>
                <w:color w:val="000000"/>
                <w:lang w:val="bg-BG"/>
              </w:rPr>
              <w:t>За да се осигури успешно разследване и наказателно преследване на престъпления, свързани с трафика на хора, и за да се противодейства на културата на безнаказаност, е необходима ранна идентификация на жертвите, както и осигуряване на специфични грижи по време на наказателните разследвания и производства.</w:t>
            </w:r>
          </w:p>
          <w:p w14:paraId="71B56452" w14:textId="77777777" w:rsidR="00755896" w:rsidRPr="00755896" w:rsidRDefault="00755896" w:rsidP="00755896">
            <w:pPr>
              <w:spacing w:before="100"/>
              <w:jc w:val="both"/>
              <w:rPr>
                <w:color w:val="000000"/>
                <w:lang w:val="bg-BG"/>
              </w:rPr>
            </w:pPr>
            <w:r w:rsidRPr="00755896">
              <w:rPr>
                <w:color w:val="000000"/>
                <w:lang w:val="bg-BG"/>
              </w:rPr>
              <w:t>За да се отговори ефективно на споменати по-горе нужди и предизвикателства, правоприлагащите органи следва да разполагат с достатъчно на брой, адекватни и съвременни средства и инструменти за предотвратяване и разследване на престъпления, надеждни и сигурни канали за получаване, анализ и обмен на информация, ноу-хау и опит, както и достатъчни и модерни условия за надграждане и поддържане на техния капацитет, професионална квалификация и умения.</w:t>
            </w:r>
          </w:p>
          <w:p w14:paraId="56D69B4B" w14:textId="77777777" w:rsidR="00755896" w:rsidRPr="00755896" w:rsidRDefault="00755896" w:rsidP="00755896">
            <w:pPr>
              <w:spacing w:before="100"/>
              <w:jc w:val="both"/>
              <w:rPr>
                <w:color w:val="000000"/>
                <w:lang w:val="bg-BG"/>
              </w:rPr>
            </w:pPr>
            <w:r w:rsidRPr="00755896">
              <w:rPr>
                <w:color w:val="000000"/>
                <w:lang w:val="bg-BG"/>
              </w:rPr>
              <w:t>Подкрепата за различни проекти, предоставена по НП на ФВС, допринесе за подобряване на националните технически ресурси и способности в областта на тероризма, противодействието на тежката, организираната и трансгранична престъпност, по-специално в областта на наркотиците, трафика на хора и прането на пари и корупцията. Това доведе до увеличаване на ефективността на тяхното разследване и противодействие (включително криминалистичните изследвания). В допълнение към националното финансиране, по НП на ФВС бяха финансирани проекти за повишаване на осведомеността, за засилване на превенцията на трафика на хора и радикализацията и ранно идентифициране и предоставяне на подкрепа на жертвите.</w:t>
            </w:r>
          </w:p>
          <w:p w14:paraId="02106FAE" w14:textId="77777777" w:rsidR="00755896" w:rsidRPr="00755896" w:rsidRDefault="00755896" w:rsidP="00755896">
            <w:pPr>
              <w:spacing w:before="100"/>
              <w:jc w:val="both"/>
              <w:rPr>
                <w:color w:val="000000"/>
                <w:lang w:val="bg-BG"/>
              </w:rPr>
            </w:pPr>
            <w:r w:rsidRPr="00755896">
              <w:rPr>
                <w:color w:val="000000"/>
                <w:lang w:val="bg-BG"/>
              </w:rPr>
              <w:t>Действията ще бъдат продължени и доразвити въз основа на научените уроци и най-добрите практики чрез придобиване на ново оборудване / технологии / устройства / транспортни средства, поддръжка на оборудването / системите, въведени в експлоатация през текущия период, разширяване на обхвата и капацитета на ИКТ системите, създаване на нови ИТ системи, модернизация и разширяване на програмите и инструментите за обучение, включване на нови партньори, целеви групи и заинтересовани страни, включително гражданското общество.</w:t>
            </w:r>
          </w:p>
          <w:p w14:paraId="4B991B1C" w14:textId="77777777" w:rsidR="00755896" w:rsidRPr="00755896" w:rsidRDefault="00755896" w:rsidP="00755896">
            <w:pPr>
              <w:spacing w:before="100"/>
              <w:jc w:val="both"/>
              <w:rPr>
                <w:color w:val="000000"/>
                <w:lang w:val="bg-BG"/>
              </w:rPr>
            </w:pPr>
            <w:r w:rsidRPr="00755896">
              <w:rPr>
                <w:color w:val="000000"/>
                <w:lang w:val="bg-BG"/>
              </w:rPr>
              <w:t>Предвижда се и включване на нови бенефициенти, напр. Столична дирекция на вътрешните работи като най-голямата регионална дирекция на МВР, действаща на територията на град с над 1 000 000 души население.</w:t>
            </w:r>
          </w:p>
          <w:p w14:paraId="4BB1E427" w14:textId="77777777" w:rsidR="00755896" w:rsidRPr="00755896" w:rsidRDefault="00755896" w:rsidP="00755896">
            <w:pPr>
              <w:spacing w:before="100"/>
              <w:jc w:val="both"/>
              <w:rPr>
                <w:color w:val="000000"/>
                <w:lang w:val="bg-BG"/>
              </w:rPr>
            </w:pPr>
            <w:r w:rsidRPr="00755896">
              <w:rPr>
                <w:color w:val="000000"/>
                <w:lang w:val="bg-BG"/>
              </w:rPr>
              <w:lastRenderedPageBreak/>
              <w:t>Обхватът на подкрепата ще бъде разширен, за да включи нови действия като:</w:t>
            </w:r>
          </w:p>
          <w:p w14:paraId="028A9AFE" w14:textId="77777777" w:rsidR="00755896" w:rsidRPr="00755896" w:rsidRDefault="00755896" w:rsidP="00755896">
            <w:pPr>
              <w:spacing w:before="100"/>
              <w:jc w:val="both"/>
              <w:rPr>
                <w:color w:val="000000"/>
                <w:lang w:val="bg-BG"/>
              </w:rPr>
            </w:pPr>
            <w:r w:rsidRPr="00755896">
              <w:rPr>
                <w:color w:val="000000"/>
                <w:lang w:val="bg-BG"/>
              </w:rPr>
              <w:t>- увеличаване на (съвместните) обучения на правоприлагащите органи, ученията, взаимното обучение, специализираните програми за обмен и споделяне на най-добри практики чрез разработване и надграждане на обучителните програми, средства и инфраструктура на съответната институция за обучение, по-специално на Академията на МВР (АМВР), която е Национална точка за контакт  на CEPOL за България, съгласувано със CEPOL;</w:t>
            </w:r>
          </w:p>
          <w:p w14:paraId="1A68A831" w14:textId="77777777" w:rsidR="00755896" w:rsidRPr="00755896" w:rsidRDefault="00755896" w:rsidP="00755896">
            <w:pPr>
              <w:spacing w:before="100"/>
              <w:jc w:val="both"/>
              <w:rPr>
                <w:color w:val="000000"/>
                <w:lang w:val="bg-BG"/>
              </w:rPr>
            </w:pPr>
            <w:r w:rsidRPr="00755896">
              <w:rPr>
                <w:color w:val="000000"/>
                <w:lang w:val="bg-BG"/>
              </w:rPr>
              <w:t>- повишаване на ефективността на разследването, включително чрез дигитализиране на криминалистичната дейност, използване на СРС и събиране и подготовка на веществени доказателства в контекста на превенцията и борбата с тежката и организираната престъпност.</w:t>
            </w:r>
          </w:p>
          <w:p w14:paraId="5E0DC037" w14:textId="1C58E3C6" w:rsidR="00885C34" w:rsidRDefault="00885C34" w:rsidP="00755896">
            <w:pPr>
              <w:spacing w:before="100"/>
              <w:jc w:val="both"/>
              <w:rPr>
                <w:color w:val="000000"/>
                <w:lang w:val="bg-BG"/>
              </w:rPr>
            </w:pPr>
          </w:p>
          <w:p w14:paraId="4136D5F3" w14:textId="77777777" w:rsidR="00885C34" w:rsidRPr="00885C34" w:rsidRDefault="00885C34" w:rsidP="00885C34">
            <w:pPr>
              <w:spacing w:before="100"/>
              <w:jc w:val="both"/>
              <w:rPr>
                <w:color w:val="000000"/>
                <w:lang w:val="bg-BG"/>
              </w:rPr>
            </w:pPr>
            <w:r w:rsidRPr="00885C34">
              <w:rPr>
                <w:color w:val="000000"/>
                <w:lang w:val="bg-BG"/>
              </w:rPr>
              <w:t>Въз основа на оценката на изпълнението на програмата през 2025 г., преразпределението на спестяванията е насочено към мерки, които засилват оперативния и техническия капацитет в приоритетни области като борбата с киберпрестъпността и престъпленията, свързани с наркотици. Избраните интервенции имат за цел да подкрепят придобиването и поддръжката на специализирани инструменти, да укрепят аналитичните и разследващите способности, да подобрят професионалните умения чрез целенасочено обучение и да подобрят обществената осведоменост относно заплахите за вътрешната сигурност. Тези действия ще допринесат за повишаване на подготвеността и ефективността на компетентните органи при справянето с променящите се предизвикателства пред сигурността на национално и европейско ниво.</w:t>
            </w:r>
          </w:p>
          <w:p w14:paraId="1926D249" w14:textId="77777777" w:rsidR="00885C34" w:rsidRDefault="00885C34" w:rsidP="00755896">
            <w:pPr>
              <w:spacing w:before="100"/>
              <w:jc w:val="both"/>
              <w:rPr>
                <w:color w:val="000000"/>
                <w:lang w:val="bg-BG"/>
              </w:rPr>
            </w:pPr>
          </w:p>
          <w:p w14:paraId="3C090FD5" w14:textId="64E91D16" w:rsidR="00755896" w:rsidRPr="00755896" w:rsidRDefault="00755896" w:rsidP="00755896">
            <w:pPr>
              <w:spacing w:before="100"/>
              <w:jc w:val="both"/>
              <w:rPr>
                <w:color w:val="000000"/>
                <w:lang w:val="bg-BG"/>
              </w:rPr>
            </w:pPr>
            <w:r w:rsidRPr="00755896">
              <w:rPr>
                <w:color w:val="000000"/>
                <w:lang w:val="bg-BG"/>
              </w:rPr>
              <w:t>Подкрепата в рамките на програмата по ФВС ще допринесе за постигането на специфичната цел, посочена в чл. 3 (2) (в) като се фокусира върху мерките за изпълнение, като изброените по-долу:</w:t>
            </w:r>
          </w:p>
          <w:p w14:paraId="42B1396B" w14:textId="77777777" w:rsidR="00755896" w:rsidRPr="00755896" w:rsidRDefault="00755896" w:rsidP="00755896">
            <w:pPr>
              <w:numPr>
                <w:ilvl w:val="0"/>
                <w:numId w:val="1"/>
              </w:numPr>
              <w:spacing w:before="100"/>
              <w:jc w:val="both"/>
              <w:rPr>
                <w:color w:val="000000"/>
                <w:lang w:val="bg-BG"/>
              </w:rPr>
            </w:pPr>
            <w:r w:rsidRPr="00755896">
              <w:rPr>
                <w:color w:val="000000"/>
                <w:lang w:val="bg-BG"/>
              </w:rPr>
              <w:t>Увеличаване на обучението, ученията и взаимното учене, специализирани програми за обмен и споделяне на най- добри практики</w:t>
            </w:r>
          </w:p>
          <w:p w14:paraId="23F48BF3" w14:textId="77777777" w:rsidR="00755896" w:rsidRPr="00755896" w:rsidRDefault="00755896" w:rsidP="00755896">
            <w:pPr>
              <w:spacing w:before="100"/>
              <w:jc w:val="both"/>
              <w:rPr>
                <w:color w:val="000000"/>
                <w:lang w:val="bg-BG"/>
              </w:rPr>
            </w:pPr>
            <w:r w:rsidRPr="00755896">
              <w:rPr>
                <w:color w:val="000000"/>
                <w:lang w:val="bg-BG"/>
              </w:rPr>
              <w:t>Предвидени са следните индикативни действия/проекти:</w:t>
            </w:r>
          </w:p>
          <w:p w14:paraId="77A9A717" w14:textId="77777777" w:rsidR="00755896" w:rsidRPr="00755896" w:rsidRDefault="00755896" w:rsidP="00755896">
            <w:pPr>
              <w:spacing w:before="100"/>
              <w:jc w:val="both"/>
              <w:rPr>
                <w:color w:val="000000"/>
                <w:lang w:val="bg-BG"/>
              </w:rPr>
            </w:pPr>
            <w:r w:rsidRPr="00755896">
              <w:rPr>
                <w:color w:val="000000"/>
                <w:lang w:val="bg-BG"/>
              </w:rPr>
              <w:t xml:space="preserve">- Повишен капацитет на Националната точка за контакт на CEPOL за България; </w:t>
            </w:r>
          </w:p>
          <w:p w14:paraId="427C17F0" w14:textId="77777777" w:rsidR="00755896" w:rsidRPr="00755896" w:rsidRDefault="00755896" w:rsidP="00755896">
            <w:pPr>
              <w:spacing w:before="100"/>
              <w:jc w:val="both"/>
              <w:rPr>
                <w:color w:val="000000"/>
                <w:lang w:val="bg-BG"/>
              </w:rPr>
            </w:pPr>
            <w:r w:rsidRPr="00755896">
              <w:rPr>
                <w:color w:val="000000"/>
                <w:lang w:val="bg-BG"/>
              </w:rPr>
              <w:t>- Усъвършенстване и надграждане на учебно-материалната база и повишаване на качеството и ефективността на стрелковата, тактическа и специализирана подготовка на служителите от дирекция „Специализирани операции и борба с тероризма“;</w:t>
            </w:r>
          </w:p>
          <w:p w14:paraId="2DAF3252" w14:textId="77777777" w:rsidR="00755896" w:rsidRPr="00755896" w:rsidRDefault="00755896" w:rsidP="00755896">
            <w:pPr>
              <w:spacing w:before="100"/>
              <w:jc w:val="both"/>
              <w:rPr>
                <w:color w:val="000000"/>
                <w:lang w:val="bg-BG"/>
              </w:rPr>
            </w:pPr>
            <w:r w:rsidRPr="00755896">
              <w:rPr>
                <w:color w:val="000000"/>
                <w:lang w:val="bg-BG"/>
              </w:rPr>
              <w:t>- Усъвършенстване на професионалната подготовка на служителите на Столична дирекция на вътрешните работи чрез модернизиране на инфраструктурата и обучения, свързани със сигурността;</w:t>
            </w:r>
          </w:p>
          <w:p w14:paraId="352A4F5A" w14:textId="77777777" w:rsidR="00755896" w:rsidRPr="00755896" w:rsidRDefault="00755896" w:rsidP="00755896">
            <w:pPr>
              <w:spacing w:before="100"/>
              <w:jc w:val="both"/>
              <w:rPr>
                <w:color w:val="000000"/>
                <w:lang w:val="bg-BG"/>
              </w:rPr>
            </w:pPr>
            <w:r w:rsidRPr="00755896">
              <w:rPr>
                <w:color w:val="000000"/>
                <w:lang w:val="bg-BG"/>
              </w:rPr>
              <w:t>- Повишаване на оперативния капацитет и специфичните умения и компетентности на служителите от Държавна агенция „Технически операции“;</w:t>
            </w:r>
          </w:p>
          <w:p w14:paraId="33330830" w14:textId="776AEF32" w:rsidR="00755896" w:rsidRDefault="00755896" w:rsidP="00755896">
            <w:pPr>
              <w:spacing w:before="100"/>
              <w:jc w:val="both"/>
              <w:rPr>
                <w:color w:val="000000"/>
                <w:lang w:val="bg-BG"/>
              </w:rPr>
            </w:pPr>
            <w:r w:rsidRPr="00755896">
              <w:rPr>
                <w:color w:val="000000"/>
                <w:lang w:val="bg-BG"/>
              </w:rPr>
              <w:t>- Развиване и надграждане на капацитета на разследващите и правоприлагащите органи в областта на противодействието на трафика на хора за по-ефективна идентификация, права на жертвите и насочване на пострадалите.</w:t>
            </w:r>
          </w:p>
          <w:p w14:paraId="5C675663" w14:textId="77777777" w:rsidR="00885C34" w:rsidRPr="00755896" w:rsidRDefault="00885C34" w:rsidP="00755896">
            <w:pPr>
              <w:spacing w:before="100"/>
              <w:jc w:val="both"/>
              <w:rPr>
                <w:color w:val="000000"/>
                <w:lang w:val="bg-BG"/>
              </w:rPr>
            </w:pPr>
          </w:p>
          <w:p w14:paraId="27C3289C" w14:textId="2F32CD0C" w:rsidR="00885C34" w:rsidRPr="00885C34" w:rsidRDefault="00885C34" w:rsidP="00885C34">
            <w:pPr>
              <w:spacing w:before="100"/>
              <w:jc w:val="both"/>
              <w:rPr>
                <w:color w:val="000000"/>
                <w:lang w:val="bg-BG"/>
              </w:rPr>
            </w:pPr>
            <w:r w:rsidRPr="00885C34">
              <w:rPr>
                <w:color w:val="000000"/>
                <w:lang w:val="bg-BG"/>
              </w:rPr>
              <w:t>CYBERTools – Специализиран</w:t>
            </w:r>
            <w:r w:rsidR="004847C7">
              <w:rPr>
                <w:color w:val="000000"/>
                <w:lang w:val="bg-BG"/>
              </w:rPr>
              <w:t>и</w:t>
            </w:r>
            <w:r w:rsidRPr="00885C34">
              <w:rPr>
                <w:color w:val="000000"/>
                <w:lang w:val="bg-BG"/>
              </w:rPr>
              <w:t xml:space="preserve"> софтуер</w:t>
            </w:r>
            <w:r w:rsidR="004847C7">
              <w:rPr>
                <w:color w:val="000000"/>
                <w:lang w:val="bg-BG"/>
              </w:rPr>
              <w:t>и за анализ и противодействие</w:t>
            </w:r>
            <w:r w:rsidRPr="00885C34">
              <w:rPr>
                <w:color w:val="000000"/>
                <w:lang w:val="bg-BG"/>
              </w:rPr>
              <w:t xml:space="preserve"> </w:t>
            </w:r>
            <w:r w:rsidR="004847C7">
              <w:rPr>
                <w:color w:val="000000"/>
                <w:lang w:val="bg-BG"/>
              </w:rPr>
              <w:t>на</w:t>
            </w:r>
            <w:r w:rsidRPr="00885C34">
              <w:rPr>
                <w:color w:val="000000"/>
                <w:lang w:val="bg-BG"/>
              </w:rPr>
              <w:t xml:space="preserve"> киберпрестъп</w:t>
            </w:r>
            <w:r w:rsidR="004847C7">
              <w:rPr>
                <w:color w:val="000000"/>
                <w:lang w:val="bg-BG"/>
              </w:rPr>
              <w:t>ления</w:t>
            </w:r>
          </w:p>
          <w:p w14:paraId="04F99FAC" w14:textId="77777777" w:rsidR="00885C34" w:rsidRPr="00885C34" w:rsidRDefault="00885C34" w:rsidP="00885C34">
            <w:pPr>
              <w:spacing w:before="100"/>
              <w:jc w:val="both"/>
              <w:rPr>
                <w:color w:val="000000"/>
                <w:lang w:val="bg-BG"/>
              </w:rPr>
            </w:pPr>
            <w:r w:rsidRPr="00885C34">
              <w:rPr>
                <w:color w:val="000000"/>
                <w:lang w:val="bg-BG"/>
              </w:rPr>
              <w:t>- Повишаване на осведомеността относно борбата с киберпрестъпността и трафика на наркотици</w:t>
            </w:r>
          </w:p>
          <w:p w14:paraId="776F4965" w14:textId="77777777" w:rsidR="00885C34" w:rsidRPr="00885C34" w:rsidRDefault="00885C34" w:rsidP="00885C34">
            <w:pPr>
              <w:spacing w:before="100"/>
              <w:jc w:val="both"/>
              <w:rPr>
                <w:color w:val="000000"/>
                <w:lang w:val="bg-BG"/>
              </w:rPr>
            </w:pPr>
            <w:r w:rsidRPr="00885C34">
              <w:rPr>
                <w:color w:val="000000"/>
                <w:lang w:val="bg-BG"/>
              </w:rPr>
              <w:t>- Повишаване на националната сигурност чрез инициативи за повишаване на обществената осведоменост</w:t>
            </w:r>
          </w:p>
          <w:p w14:paraId="035FA593" w14:textId="77777777" w:rsidR="00885C34" w:rsidRPr="00885C34" w:rsidRDefault="00885C34" w:rsidP="00885C34">
            <w:pPr>
              <w:spacing w:before="100"/>
              <w:jc w:val="both"/>
              <w:rPr>
                <w:color w:val="000000"/>
                <w:lang w:val="bg-BG"/>
              </w:rPr>
            </w:pPr>
            <w:r w:rsidRPr="00885C34">
              <w:rPr>
                <w:color w:val="000000"/>
                <w:lang w:val="bg-BG"/>
              </w:rPr>
              <w:t>- Интелигентен и сигурен подбор – Сигурност и предотвратяване на престъпления чрез усъвършенствана система за психологическа оценка в Министерството на вътрешните работи.</w:t>
            </w:r>
          </w:p>
          <w:p w14:paraId="2118C814" w14:textId="77777777" w:rsidR="00885C34" w:rsidRDefault="00885C34" w:rsidP="00755896">
            <w:pPr>
              <w:spacing w:before="100"/>
              <w:jc w:val="both"/>
              <w:rPr>
                <w:color w:val="000000"/>
                <w:lang w:val="bg-BG"/>
              </w:rPr>
            </w:pPr>
          </w:p>
          <w:p w14:paraId="47CDE0C5" w14:textId="009CF968" w:rsidR="00755896" w:rsidRPr="00755896" w:rsidRDefault="00755896" w:rsidP="00755896">
            <w:pPr>
              <w:spacing w:before="100"/>
              <w:jc w:val="both"/>
              <w:rPr>
                <w:color w:val="000000"/>
                <w:lang w:val="bg-BG"/>
              </w:rPr>
            </w:pPr>
            <w:r w:rsidRPr="00755896">
              <w:rPr>
                <w:color w:val="000000"/>
                <w:lang w:val="bg-BG"/>
              </w:rPr>
              <w:t xml:space="preserve">Ще бъде предоставена подкрепа за следните типове действия: образование и обучение, включително за разработване на дигитално съдържание, финансиране за оборудване и свързани </w:t>
            </w:r>
            <w:r w:rsidRPr="00755896">
              <w:rPr>
                <w:color w:val="000000"/>
                <w:lang w:val="bg-BG"/>
              </w:rPr>
              <w:lastRenderedPageBreak/>
              <w:t>със сигурността съоръжения – ремонт на зали за обучение за изграждане на специализиран обучителен център за борба с киберпрестъпността, реконструкция/ремонт на стрелбища, обучителни сгради, обучителни полигони, спортни зали за бойни и приложни техники, изграждане на балистична сграда за боеприпаси и тактическа подготовка и т.н., обмен и разпространение на ноу-хау, информация, опит и добри практики и др.</w:t>
            </w:r>
          </w:p>
          <w:p w14:paraId="4034BC69" w14:textId="77777777" w:rsidR="00755896" w:rsidRPr="00755896" w:rsidRDefault="00755896" w:rsidP="00755896">
            <w:pPr>
              <w:numPr>
                <w:ilvl w:val="0"/>
                <w:numId w:val="1"/>
              </w:numPr>
              <w:spacing w:before="100"/>
              <w:jc w:val="both"/>
              <w:rPr>
                <w:color w:val="000000"/>
                <w:lang w:val="bg-BG"/>
              </w:rPr>
            </w:pPr>
            <w:r w:rsidRPr="00755896">
              <w:rPr>
                <w:color w:val="000000"/>
                <w:lang w:val="bg-BG"/>
              </w:rPr>
              <w:t>Придобиване на подходящо оборудване и създаване или модернизиране на специализирани учебни бази и друга свързана със сигурността инфраструктура от съществено значение</w:t>
            </w:r>
          </w:p>
          <w:p w14:paraId="422CCFA0" w14:textId="77777777" w:rsidR="00755896" w:rsidRPr="00755896" w:rsidRDefault="00755896" w:rsidP="00755896">
            <w:pPr>
              <w:spacing w:before="100"/>
              <w:jc w:val="both"/>
              <w:rPr>
                <w:color w:val="000000"/>
                <w:lang w:val="bg-BG"/>
              </w:rPr>
            </w:pPr>
            <w:r w:rsidRPr="00755896">
              <w:rPr>
                <w:color w:val="000000"/>
                <w:lang w:val="bg-BG"/>
              </w:rPr>
              <w:t>Предвидени са следните индикативни действия/проекти:</w:t>
            </w:r>
          </w:p>
          <w:p w14:paraId="4C2611E7" w14:textId="77777777" w:rsidR="00755896" w:rsidRPr="00755896" w:rsidRDefault="00755896" w:rsidP="00755896">
            <w:pPr>
              <w:spacing w:before="100"/>
              <w:jc w:val="both"/>
              <w:rPr>
                <w:color w:val="000000"/>
                <w:lang w:val="bg-BG"/>
              </w:rPr>
            </w:pPr>
            <w:r w:rsidRPr="00755896">
              <w:rPr>
                <w:color w:val="000000"/>
                <w:lang w:val="bg-BG"/>
              </w:rPr>
              <w:t>- Противодействие на организираната престъпност чрез надграждане на Национален център по киберпрестъпност</w:t>
            </w:r>
          </w:p>
          <w:p w14:paraId="6B89B085" w14:textId="77777777" w:rsidR="00755896" w:rsidRPr="00755896" w:rsidRDefault="00755896" w:rsidP="00755896">
            <w:pPr>
              <w:spacing w:before="100"/>
              <w:jc w:val="both"/>
              <w:rPr>
                <w:color w:val="000000"/>
                <w:lang w:val="bg-BG"/>
              </w:rPr>
            </w:pPr>
            <w:r w:rsidRPr="00755896">
              <w:rPr>
                <w:color w:val="000000"/>
                <w:lang w:val="bg-BG"/>
              </w:rPr>
              <w:t>- Укрепване капацитета на полицейските служители в превенцията и борбата срещу престъпления, свързани с производство, разпространение и трафик на наркотици</w:t>
            </w:r>
          </w:p>
          <w:p w14:paraId="1C45C3D9" w14:textId="77777777" w:rsidR="00755896" w:rsidRPr="00755896" w:rsidRDefault="00755896" w:rsidP="00755896">
            <w:pPr>
              <w:spacing w:before="100"/>
              <w:jc w:val="both"/>
              <w:rPr>
                <w:color w:val="000000"/>
                <w:lang w:val="bg-BG"/>
              </w:rPr>
            </w:pPr>
            <w:r w:rsidRPr="00755896">
              <w:rPr>
                <w:color w:val="000000"/>
                <w:lang w:val="bg-BG"/>
              </w:rPr>
              <w:t>- Дигитализация на експертно-криминалистическата дейност и на процеси, свързани с полицейска регистрация</w:t>
            </w:r>
          </w:p>
          <w:p w14:paraId="3B77141B" w14:textId="77777777" w:rsidR="00755896" w:rsidRPr="00755896" w:rsidRDefault="00755896" w:rsidP="00755896">
            <w:pPr>
              <w:spacing w:before="100"/>
              <w:jc w:val="both"/>
              <w:rPr>
                <w:color w:val="000000"/>
                <w:lang w:val="bg-BG"/>
              </w:rPr>
            </w:pPr>
            <w:r w:rsidRPr="00755896">
              <w:rPr>
                <w:color w:val="000000"/>
                <w:lang w:val="bg-BG"/>
              </w:rPr>
              <w:t>- Повишаване на мобилизационния капацитет на ГДГП (предвижда се доставка на 30 специализирани превозни средства) за противодействие на трансграничните престъпления, включително трафика на хора и контрабанда на мигранти, в сътрудничество с компетентните органи на европейско и национално ниво</w:t>
            </w:r>
          </w:p>
          <w:p w14:paraId="624B1318" w14:textId="77777777" w:rsidR="00755896" w:rsidRPr="00755896" w:rsidRDefault="00755896" w:rsidP="00755896">
            <w:pPr>
              <w:spacing w:before="100"/>
              <w:jc w:val="both"/>
              <w:rPr>
                <w:color w:val="000000"/>
                <w:lang w:val="bg-BG"/>
              </w:rPr>
            </w:pPr>
            <w:r w:rsidRPr="00755896">
              <w:rPr>
                <w:color w:val="000000"/>
                <w:lang w:val="bg-BG"/>
              </w:rPr>
              <w:t>- Разширяване на възможностите за криминалистични изследвания на цифрови веществени доказателства и устойчиво развитие на криминалистичните изследвания чрез поддръжка, разширяване на капацитета на лабораториите и въвеждане в експлоатация на нови технически средства в НИК-МВР</w:t>
            </w:r>
          </w:p>
          <w:p w14:paraId="75285DE7" w14:textId="77777777" w:rsidR="00755896" w:rsidRPr="00755896" w:rsidRDefault="00755896" w:rsidP="00755896">
            <w:pPr>
              <w:spacing w:before="100"/>
              <w:jc w:val="both"/>
              <w:rPr>
                <w:color w:val="000000"/>
                <w:lang w:val="bg-BG"/>
              </w:rPr>
            </w:pPr>
            <w:r w:rsidRPr="00755896">
              <w:rPr>
                <w:color w:val="000000"/>
                <w:lang w:val="bg-BG"/>
              </w:rPr>
              <w:t>- Надграждане на способности за повишаване на нивото на вътрешната сигурност, както и постигане на своевременност и ефикасност на действията, свързани с борбата с организираната престъпност, корупция, тероризъм, екстремизъм, радикализъм, трафик на хора, наркотици и оръжия, както и други дейности, застрашаващи националната сигурност</w:t>
            </w:r>
          </w:p>
          <w:p w14:paraId="28A74D1F" w14:textId="77777777" w:rsidR="00755896" w:rsidRPr="00755896" w:rsidRDefault="00755896" w:rsidP="00755896">
            <w:pPr>
              <w:spacing w:before="100"/>
              <w:jc w:val="both"/>
              <w:rPr>
                <w:color w:val="000000"/>
                <w:lang w:val="bg-BG"/>
              </w:rPr>
            </w:pPr>
            <w:r w:rsidRPr="00755896">
              <w:rPr>
                <w:color w:val="000000"/>
                <w:lang w:val="bg-BG"/>
              </w:rPr>
              <w:t>Ще бъде предоставена подкрепа за следните типове действия: образование и обучение, финансиране за оборудване и свързани със сигурността съоръжения, обмен и разпространение на ноу-хау, информация, опит и добри практики и др.</w:t>
            </w:r>
          </w:p>
          <w:p w14:paraId="35466ED0" w14:textId="77777777" w:rsidR="00755896" w:rsidRPr="00755896" w:rsidRDefault="00755896" w:rsidP="00755896">
            <w:pPr>
              <w:numPr>
                <w:ilvl w:val="0"/>
                <w:numId w:val="1"/>
              </w:numPr>
              <w:spacing w:before="100"/>
              <w:jc w:val="both"/>
              <w:rPr>
                <w:color w:val="000000"/>
                <w:lang w:val="bg-BG"/>
              </w:rPr>
            </w:pPr>
            <w:r w:rsidRPr="00755896">
              <w:rPr>
                <w:color w:val="000000"/>
                <w:lang w:val="bg-BG"/>
              </w:rPr>
              <w:t>Насърчаване и разработване на мерки, гаранции, механизми и най-добри практики, свързани с ранната идентификация, закрилата и подкрепата на жертви на престъпления</w:t>
            </w:r>
          </w:p>
          <w:p w14:paraId="6A15DF27" w14:textId="77777777" w:rsidR="00755896" w:rsidRPr="00755896" w:rsidRDefault="00755896" w:rsidP="00755896">
            <w:pPr>
              <w:spacing w:before="100"/>
              <w:jc w:val="both"/>
              <w:rPr>
                <w:color w:val="000000"/>
                <w:lang w:val="bg-BG"/>
              </w:rPr>
            </w:pPr>
            <w:r w:rsidRPr="00755896">
              <w:rPr>
                <w:color w:val="000000"/>
                <w:lang w:val="bg-BG"/>
              </w:rPr>
              <w:t>Предвидени са следните индикативни действия/проекти:</w:t>
            </w:r>
          </w:p>
          <w:p w14:paraId="641EC0D8" w14:textId="77777777" w:rsidR="00755896" w:rsidRPr="00755896" w:rsidRDefault="00755896" w:rsidP="00755896">
            <w:pPr>
              <w:spacing w:before="100"/>
              <w:jc w:val="both"/>
              <w:rPr>
                <w:color w:val="000000"/>
                <w:lang w:val="bg-BG"/>
              </w:rPr>
            </w:pPr>
            <w:r w:rsidRPr="00755896">
              <w:rPr>
                <w:color w:val="000000"/>
                <w:lang w:val="bg-BG"/>
              </w:rPr>
              <w:t>- Повишаване на осведомеността и чувствителността на обществото по проблемите на трафика на хора</w:t>
            </w:r>
          </w:p>
          <w:p w14:paraId="0AD90AF8" w14:textId="77777777" w:rsidR="00755896" w:rsidRPr="00755896" w:rsidRDefault="00755896" w:rsidP="00755896">
            <w:pPr>
              <w:spacing w:before="100"/>
              <w:jc w:val="both"/>
              <w:rPr>
                <w:color w:val="000000"/>
                <w:lang w:val="bg-BG"/>
              </w:rPr>
            </w:pPr>
            <w:r w:rsidRPr="00755896">
              <w:rPr>
                <w:color w:val="000000"/>
                <w:lang w:val="bg-BG"/>
              </w:rPr>
              <w:t>- Помощ, подкрепа  и защита за жертвите на трафик на хора</w:t>
            </w:r>
          </w:p>
          <w:p w14:paraId="4386802B" w14:textId="77777777" w:rsidR="00755896" w:rsidRPr="00755896" w:rsidRDefault="00755896" w:rsidP="00755896">
            <w:pPr>
              <w:spacing w:before="100"/>
              <w:jc w:val="both"/>
              <w:rPr>
                <w:color w:val="000000"/>
                <w:lang w:val="bg-BG"/>
              </w:rPr>
            </w:pPr>
            <w:r w:rsidRPr="00755896">
              <w:rPr>
                <w:color w:val="000000"/>
                <w:lang w:val="bg-BG"/>
              </w:rPr>
              <w:t>- Механизми за постигане на устойчивост сред младежите към радикализация и език на омразата в онлайн среда.</w:t>
            </w:r>
          </w:p>
          <w:p w14:paraId="19EFD4AE" w14:textId="77777777" w:rsidR="00755896" w:rsidRPr="00755896" w:rsidRDefault="00755896" w:rsidP="00755896">
            <w:pPr>
              <w:spacing w:before="100"/>
              <w:jc w:val="both"/>
              <w:rPr>
                <w:color w:val="000000"/>
                <w:lang w:val="bg-BG"/>
              </w:rPr>
            </w:pPr>
            <w:r w:rsidRPr="00755896">
              <w:rPr>
                <w:color w:val="000000"/>
                <w:lang w:val="bg-BG"/>
              </w:rPr>
              <w:t>Ще бъде предоставена подкрепа за следните типове действия: действия за предоставяне на общностите на правомощия за развитие на местни подходи и превантивни политики, както и дейности за повишаване на осведомеността и за комуникация сред заинтересованите страни и широката общественост относно политиките на Съюза в областта на сигурността – информационни събития, кампании за повишаване на осведомеността, семинари, кръгли маси и др.</w:t>
            </w:r>
          </w:p>
          <w:p w14:paraId="20BECFA2" w14:textId="77777777" w:rsidR="00755896" w:rsidRPr="00755896" w:rsidRDefault="00755896" w:rsidP="00755896">
            <w:pPr>
              <w:numPr>
                <w:ilvl w:val="0"/>
                <w:numId w:val="1"/>
              </w:numPr>
              <w:spacing w:before="100"/>
              <w:jc w:val="both"/>
              <w:rPr>
                <w:color w:val="000000"/>
                <w:lang w:val="bg-BG"/>
              </w:rPr>
            </w:pPr>
            <w:r w:rsidRPr="00755896">
              <w:rPr>
                <w:color w:val="000000"/>
                <w:lang w:val="bg-BG"/>
              </w:rPr>
              <w:t>Използване на полезни взаимодействия чрез обединяване на ресурси и знания и обмен на добри практики между държавите членки и други съответни участници, включително гражданското общество, чрез разработването на съвместни оценки на риска</w:t>
            </w:r>
          </w:p>
          <w:p w14:paraId="53304B13" w14:textId="77777777" w:rsidR="00755896" w:rsidRPr="00755896" w:rsidRDefault="00755896" w:rsidP="00755896">
            <w:pPr>
              <w:spacing w:before="100"/>
              <w:jc w:val="both"/>
              <w:rPr>
                <w:color w:val="000000"/>
                <w:lang w:val="bg-BG"/>
              </w:rPr>
            </w:pPr>
            <w:r w:rsidRPr="00755896">
              <w:rPr>
                <w:color w:val="000000"/>
                <w:lang w:val="bg-BG"/>
              </w:rPr>
              <w:t>Предвиден е следният индикативен проект:</w:t>
            </w:r>
          </w:p>
          <w:p w14:paraId="7EBCEDD7" w14:textId="77777777" w:rsidR="00755896" w:rsidRPr="00755896" w:rsidRDefault="00755896" w:rsidP="00755896">
            <w:pPr>
              <w:spacing w:before="100"/>
              <w:jc w:val="both"/>
              <w:rPr>
                <w:color w:val="000000"/>
                <w:lang w:val="bg-BG"/>
              </w:rPr>
            </w:pPr>
            <w:r w:rsidRPr="00755896">
              <w:rPr>
                <w:color w:val="000000"/>
                <w:lang w:val="bg-BG"/>
              </w:rPr>
              <w:t>- Оценка на заплахите от организирана престъпност и корупция в България</w:t>
            </w:r>
          </w:p>
          <w:p w14:paraId="30FD5E6C" w14:textId="77777777" w:rsidR="00755896" w:rsidRPr="00755896" w:rsidRDefault="00755896" w:rsidP="00755896">
            <w:pPr>
              <w:spacing w:before="100"/>
              <w:jc w:val="both"/>
              <w:rPr>
                <w:color w:val="000000"/>
                <w:lang w:val="bg-BG"/>
              </w:rPr>
            </w:pPr>
            <w:r w:rsidRPr="00755896">
              <w:rPr>
                <w:color w:val="000000"/>
                <w:lang w:val="bg-BG"/>
              </w:rPr>
              <w:lastRenderedPageBreak/>
              <w:t>Ще бъде предоставена подкрепа за следните типове действия: разработване на оценки на риска и др.</w:t>
            </w:r>
          </w:p>
          <w:p w14:paraId="031C1EE5" w14:textId="77777777" w:rsidR="00755896" w:rsidRPr="00755896" w:rsidRDefault="00755896" w:rsidP="00755896">
            <w:pPr>
              <w:spacing w:before="100"/>
              <w:jc w:val="both"/>
              <w:rPr>
                <w:color w:val="000000"/>
                <w:lang w:val="bg-BG"/>
              </w:rPr>
            </w:pPr>
            <w:r w:rsidRPr="00755896">
              <w:rPr>
                <w:color w:val="000000"/>
                <w:lang w:val="bg-BG"/>
              </w:rPr>
              <w:t>Всички дейности по обучения ще бъдат координирани с CEPOL, за да се насърчат синергиите и да се избегне двойно финансиране.</w:t>
            </w:r>
          </w:p>
          <w:p w14:paraId="68D9D982" w14:textId="77777777" w:rsidR="00755896" w:rsidRPr="00755896" w:rsidRDefault="00755896" w:rsidP="00755896">
            <w:pPr>
              <w:spacing w:before="100"/>
              <w:jc w:val="both"/>
              <w:rPr>
                <w:color w:val="000000"/>
                <w:lang w:val="bg-BG"/>
              </w:rPr>
            </w:pPr>
            <w:r w:rsidRPr="00755896">
              <w:rPr>
                <w:color w:val="000000"/>
                <w:lang w:val="bg-BG"/>
              </w:rPr>
              <w:t xml:space="preserve">• Специфично действие </w:t>
            </w:r>
          </w:p>
          <w:p w14:paraId="087A316A" w14:textId="77777777" w:rsidR="00755896" w:rsidRPr="00755896" w:rsidRDefault="00755896" w:rsidP="00755896">
            <w:pPr>
              <w:spacing w:before="100"/>
              <w:jc w:val="both"/>
              <w:rPr>
                <w:color w:val="000000"/>
                <w:lang w:val="bg-BG"/>
              </w:rPr>
            </w:pPr>
            <w:r w:rsidRPr="00755896">
              <w:rPr>
                <w:color w:val="000000"/>
                <w:lang w:val="bg-BG"/>
              </w:rPr>
              <w:t>България участва като партньор в Специфично действие ISF/2022/SA/3.3.1/001 Координиране на услугите за жертви на трафик в Южните и Източните Балкани Водеща държава членка Гърция.</w:t>
            </w:r>
          </w:p>
          <w:p w14:paraId="52C66A2D" w14:textId="77777777" w:rsidR="00755896" w:rsidRPr="00755896" w:rsidRDefault="00755896" w:rsidP="00755896">
            <w:pPr>
              <w:spacing w:before="100"/>
              <w:jc w:val="both"/>
              <w:rPr>
                <w:color w:val="000000"/>
                <w:lang w:val="bg-BG"/>
              </w:rPr>
            </w:pPr>
          </w:p>
          <w:p w14:paraId="20E422CE" w14:textId="77777777" w:rsidR="00755896" w:rsidRPr="00755896" w:rsidRDefault="00755896" w:rsidP="00755896">
            <w:pPr>
              <w:spacing w:before="100"/>
              <w:jc w:val="both"/>
              <w:rPr>
                <w:b/>
                <w:color w:val="000000"/>
                <w:lang w:val="bg-BG"/>
              </w:rPr>
            </w:pPr>
            <w:r w:rsidRPr="00755896">
              <w:rPr>
                <w:b/>
                <w:color w:val="000000"/>
                <w:lang w:val="bg-BG"/>
              </w:rPr>
              <w:t>Очаквани резултати:</w:t>
            </w:r>
          </w:p>
          <w:p w14:paraId="6B18063C" w14:textId="77777777" w:rsidR="00755896" w:rsidRPr="00755896" w:rsidRDefault="00755896" w:rsidP="00755896">
            <w:pPr>
              <w:spacing w:before="100"/>
              <w:jc w:val="both"/>
              <w:rPr>
                <w:color w:val="000000"/>
                <w:lang w:val="bg-BG"/>
              </w:rPr>
            </w:pPr>
            <w:r w:rsidRPr="00755896">
              <w:rPr>
                <w:color w:val="000000"/>
                <w:lang w:val="bg-BG"/>
              </w:rPr>
              <w:t>- повишени способности за предотвратяване и противодействие на киберпрестъпността</w:t>
            </w:r>
          </w:p>
          <w:p w14:paraId="13B41DFE" w14:textId="77777777" w:rsidR="00755896" w:rsidRPr="00755896" w:rsidRDefault="00755896" w:rsidP="00755896">
            <w:pPr>
              <w:spacing w:before="100"/>
              <w:jc w:val="both"/>
              <w:rPr>
                <w:color w:val="000000"/>
                <w:lang w:val="bg-BG"/>
              </w:rPr>
            </w:pPr>
            <w:r w:rsidRPr="00755896">
              <w:rPr>
                <w:color w:val="000000"/>
                <w:lang w:val="bg-BG"/>
              </w:rPr>
              <w:t>- повишена ефективност на оперативно-издирвателната дейност и на разследванията</w:t>
            </w:r>
          </w:p>
          <w:p w14:paraId="7FEF45DA" w14:textId="77777777" w:rsidR="00755896" w:rsidRPr="00755896" w:rsidRDefault="00755896" w:rsidP="00755896">
            <w:pPr>
              <w:spacing w:before="100"/>
              <w:jc w:val="both"/>
              <w:rPr>
                <w:color w:val="000000"/>
                <w:lang w:val="bg-BG"/>
              </w:rPr>
            </w:pPr>
            <w:r w:rsidRPr="00755896">
              <w:rPr>
                <w:color w:val="000000"/>
                <w:lang w:val="bg-BG"/>
              </w:rPr>
              <w:t xml:space="preserve">- повишен капацитет, обхват и надеждност на криминалистичните изследвания и осигурено съответствие с изискванията на Европейското криминалистично пространство </w:t>
            </w:r>
          </w:p>
          <w:p w14:paraId="1957BF53" w14:textId="77777777" w:rsidR="00755896" w:rsidRPr="00755896" w:rsidRDefault="00755896" w:rsidP="00755896">
            <w:pPr>
              <w:spacing w:before="100"/>
              <w:jc w:val="both"/>
              <w:rPr>
                <w:color w:val="000000"/>
                <w:lang w:val="bg-BG"/>
              </w:rPr>
            </w:pPr>
            <w:r w:rsidRPr="00755896">
              <w:rPr>
                <w:color w:val="000000"/>
                <w:lang w:val="bg-BG"/>
              </w:rPr>
              <w:t>- повишен капацитет за превенция и борба с трафика на хора и за осигуряване на подкрепа на жертвите на престъпления.</w:t>
            </w:r>
          </w:p>
          <w:p w14:paraId="565381D5" w14:textId="77777777" w:rsidR="00755896" w:rsidRPr="00755896" w:rsidRDefault="00755896" w:rsidP="00755896">
            <w:pPr>
              <w:spacing w:before="100"/>
              <w:jc w:val="both"/>
              <w:rPr>
                <w:color w:val="000000"/>
                <w:lang w:val="bg-BG"/>
              </w:rPr>
            </w:pPr>
          </w:p>
          <w:p w14:paraId="5CA8A870" w14:textId="77777777" w:rsidR="00755896" w:rsidRPr="00755896" w:rsidRDefault="00755896" w:rsidP="00755896">
            <w:pPr>
              <w:spacing w:before="100"/>
              <w:jc w:val="both"/>
              <w:rPr>
                <w:b/>
                <w:color w:val="000000"/>
                <w:lang w:val="bg-BG"/>
              </w:rPr>
            </w:pPr>
            <w:r w:rsidRPr="00755896">
              <w:rPr>
                <w:b/>
                <w:color w:val="000000"/>
                <w:lang w:val="bg-BG"/>
              </w:rPr>
              <w:t>Количествени целеви стойности:</w:t>
            </w:r>
          </w:p>
          <w:p w14:paraId="4D52A548" w14:textId="77777777" w:rsidR="00755896" w:rsidRPr="00755896" w:rsidRDefault="00755896" w:rsidP="00755896">
            <w:pPr>
              <w:spacing w:before="100"/>
              <w:jc w:val="both"/>
              <w:rPr>
                <w:color w:val="000000"/>
                <w:lang w:val="bg-BG"/>
              </w:rPr>
            </w:pPr>
            <w:r w:rsidRPr="00755896">
              <w:rPr>
                <w:color w:val="000000"/>
                <w:lang w:val="bg-BG"/>
              </w:rPr>
              <w:t xml:space="preserve">- модернизиран Национален център за киберпрестъпност </w:t>
            </w:r>
          </w:p>
          <w:p w14:paraId="769B97C4" w14:textId="77777777" w:rsidR="00755896" w:rsidRPr="00755896" w:rsidRDefault="00755896" w:rsidP="00755896">
            <w:pPr>
              <w:spacing w:before="100"/>
              <w:jc w:val="both"/>
              <w:rPr>
                <w:color w:val="000000"/>
                <w:lang w:val="bg-BG"/>
              </w:rPr>
            </w:pPr>
            <w:r w:rsidRPr="00755896">
              <w:rPr>
                <w:color w:val="000000"/>
                <w:lang w:val="bg-BG"/>
              </w:rPr>
              <w:t xml:space="preserve">- 5 модернизирани криминалистични лаборатории </w:t>
            </w:r>
          </w:p>
          <w:p w14:paraId="4A1A2786" w14:textId="77777777" w:rsidR="00755896" w:rsidRPr="00755896" w:rsidRDefault="00755896" w:rsidP="00755896">
            <w:pPr>
              <w:spacing w:before="100"/>
              <w:jc w:val="both"/>
              <w:rPr>
                <w:color w:val="000000"/>
                <w:lang w:val="bg-BG"/>
              </w:rPr>
            </w:pPr>
            <w:r w:rsidRPr="00755896">
              <w:rPr>
                <w:color w:val="000000"/>
                <w:lang w:val="bg-BG"/>
              </w:rPr>
              <w:t>- Получена акредитация съгласно стандарт EN ISO/IEC 17025:2018</w:t>
            </w:r>
          </w:p>
          <w:p w14:paraId="686B1A1E" w14:textId="77777777" w:rsidR="00755896" w:rsidRPr="00755896" w:rsidRDefault="00755896" w:rsidP="00755896">
            <w:pPr>
              <w:spacing w:before="100"/>
              <w:jc w:val="both"/>
              <w:rPr>
                <w:color w:val="000000"/>
                <w:lang w:val="bg-BG"/>
              </w:rPr>
            </w:pPr>
            <w:r w:rsidRPr="00755896">
              <w:rPr>
                <w:color w:val="000000"/>
                <w:lang w:val="bg-BG"/>
              </w:rPr>
              <w:t>- Акредитиран минимум един нов метод за криминалистични изследвания</w:t>
            </w:r>
          </w:p>
          <w:p w14:paraId="6FD5D3F3" w14:textId="77777777" w:rsidR="00755896" w:rsidRPr="00755896" w:rsidRDefault="00755896" w:rsidP="00755896">
            <w:pPr>
              <w:spacing w:before="100"/>
              <w:jc w:val="both"/>
              <w:rPr>
                <w:color w:val="000000"/>
                <w:lang w:val="bg-BG"/>
              </w:rPr>
            </w:pPr>
          </w:p>
          <w:p w14:paraId="7931166C" w14:textId="77777777" w:rsidR="00755896" w:rsidRPr="00755896" w:rsidRDefault="00755896" w:rsidP="00755896">
            <w:pPr>
              <w:spacing w:before="100"/>
              <w:jc w:val="both"/>
              <w:rPr>
                <w:color w:val="000000"/>
                <w:lang w:val="bg-BG"/>
              </w:rPr>
            </w:pPr>
            <w:r w:rsidRPr="00755896">
              <w:rPr>
                <w:color w:val="000000"/>
                <w:lang w:val="bg-BG"/>
              </w:rPr>
              <w:t xml:space="preserve">В рамките на СЦ се предвижда да бъде предоставена </w:t>
            </w:r>
            <w:r w:rsidRPr="00755896">
              <w:rPr>
                <w:b/>
                <w:color w:val="000000"/>
                <w:lang w:val="bg-BG"/>
              </w:rPr>
              <w:t>оперативна подкрепа</w:t>
            </w:r>
            <w:r w:rsidRPr="00755896">
              <w:rPr>
                <w:color w:val="000000"/>
                <w:lang w:val="bg-BG"/>
              </w:rPr>
              <w:t xml:space="preserve"> за следните публични органи във връзка с изпълнявани от тях задачи и услуги, които представляват обществена услуга за ЕС:</w:t>
            </w:r>
          </w:p>
          <w:p w14:paraId="6B3624E4" w14:textId="77777777" w:rsidR="00755896" w:rsidRPr="00755896" w:rsidRDefault="00755896" w:rsidP="00755896">
            <w:pPr>
              <w:spacing w:before="100"/>
              <w:jc w:val="both"/>
              <w:rPr>
                <w:color w:val="000000"/>
                <w:lang w:val="bg-BG"/>
              </w:rPr>
            </w:pPr>
            <w:r w:rsidRPr="00755896">
              <w:rPr>
                <w:color w:val="000000"/>
                <w:lang w:val="bg-BG"/>
              </w:rPr>
              <w:t xml:space="preserve">- ГДБОП е национална специализирана структура за борба с организираната престъпност; </w:t>
            </w:r>
          </w:p>
          <w:p w14:paraId="1732422E" w14:textId="77777777" w:rsidR="00755896" w:rsidRPr="00755896" w:rsidRDefault="00755896" w:rsidP="00755896">
            <w:pPr>
              <w:spacing w:before="100"/>
              <w:jc w:val="both"/>
              <w:rPr>
                <w:color w:val="000000"/>
                <w:lang w:val="bg-BG"/>
              </w:rPr>
            </w:pPr>
            <w:r w:rsidRPr="00755896">
              <w:rPr>
                <w:color w:val="000000"/>
                <w:lang w:val="bg-BG"/>
              </w:rPr>
              <w:t>- Главна дирекция „Жандармерия, специални операции и борба с тероризма“ (ГДЖСОБТ) е специализирана структура на МВР, която предотвратява и пресича терористични действия; открива, идентифицира и неутрализира взривни устройства и взривни вещества, както и разработва технически средства и способи за извършване на тези дейности; извършва физикохимическо изследване и експертна оценка на взривни устройства и техните елементи, на взривни вещества, документи и непознати вещества. ГДЖСОБТ участва в мрежата „Атлас“;</w:t>
            </w:r>
          </w:p>
          <w:p w14:paraId="7E21A238" w14:textId="77777777" w:rsidR="00755896" w:rsidRPr="00755896" w:rsidRDefault="00755896" w:rsidP="00755896">
            <w:pPr>
              <w:spacing w:before="100"/>
              <w:jc w:val="both"/>
              <w:rPr>
                <w:color w:val="000000"/>
                <w:lang w:val="bg-BG"/>
              </w:rPr>
            </w:pPr>
            <w:r w:rsidRPr="00755896">
              <w:rPr>
                <w:color w:val="000000"/>
                <w:lang w:val="bg-BG"/>
              </w:rPr>
              <w:t>- НИК-МВР – институтът изготвя експертизи по реда на НПК, експертни справки за нуждите на оперативно-издирвателната дейност и международното оперативно полицейско сътрудничество. Лабораторията в НИК-МВР е акредитирана по стандарт EN ISO/IEC 17025:2018 съгласно изискванията на Рамково решение 2009/905/ПВР на Съвета;</w:t>
            </w:r>
          </w:p>
          <w:p w14:paraId="6B59316E" w14:textId="77777777" w:rsidR="00755896" w:rsidRPr="00755896" w:rsidRDefault="00755896" w:rsidP="00755896">
            <w:pPr>
              <w:spacing w:before="100"/>
              <w:jc w:val="both"/>
              <w:rPr>
                <w:color w:val="000000"/>
                <w:lang w:val="bg-BG"/>
              </w:rPr>
            </w:pPr>
            <w:r w:rsidRPr="00755896">
              <w:rPr>
                <w:color w:val="000000"/>
                <w:lang w:val="bg-BG"/>
              </w:rPr>
              <w:t>- Държавна агенция „Национална сигурност“ (ДАНС) – извършва контраразузнавателна дейност за наблюдение, разкриване, противодействие, предотвратяване и пресичане на замислени, подготвяни или осъществявани посегателства срещу националната сигурност; осигурява контраразузнавателна защита на стратегически за страната обекти и дейности; изготвя и съхранява веществени доказателствени средства и ги предоставя на съответните органи на съдебната власт; ръководи Националния контратерористичен център; отговаря за криптографската сигурност на класифицираната информация и наблюдението на радиочестотния спектър; ДАНС е определена като точка за контакт за публично регулирана услуга (PRS), предлагана от европейската спътниковата система за навигация „Галилео”.</w:t>
            </w:r>
          </w:p>
          <w:p w14:paraId="267644A2" w14:textId="77777777" w:rsidR="00524AD0" w:rsidRPr="00524AD0" w:rsidRDefault="00755896" w:rsidP="00524AD0">
            <w:pPr>
              <w:spacing w:before="100"/>
              <w:jc w:val="both"/>
              <w:rPr>
                <w:color w:val="000000"/>
                <w:lang w:val="bg-BG"/>
              </w:rPr>
            </w:pPr>
            <w:r w:rsidRPr="00755896">
              <w:rPr>
                <w:color w:val="000000"/>
                <w:lang w:val="bg-BG"/>
              </w:rPr>
              <w:lastRenderedPageBreak/>
              <w:t xml:space="preserve">- Главна дирекция „Гранична полиция“ – във връзка с функциите й по линия на оперативно-издирвателни дейности за противодействие на нелегалната миграция, контрабандата и трафика на хора и контрол на радиологичните заплахи по външните граници. </w:t>
            </w:r>
            <w:r w:rsidR="00524AD0" w:rsidRPr="00524AD0">
              <w:rPr>
                <w:color w:val="000000"/>
                <w:lang w:val="bg-BG"/>
              </w:rPr>
              <w:t>Предвижда се продължаване на действието след 2025 г.</w:t>
            </w:r>
          </w:p>
          <w:p w14:paraId="57CA492A" w14:textId="77777777" w:rsidR="00755896" w:rsidRPr="00755896" w:rsidRDefault="00755896" w:rsidP="00755896">
            <w:pPr>
              <w:spacing w:before="100"/>
              <w:jc w:val="both"/>
              <w:rPr>
                <w:color w:val="000000"/>
                <w:lang w:val="bg-BG"/>
              </w:rPr>
            </w:pPr>
          </w:p>
          <w:p w14:paraId="0665A202" w14:textId="77777777" w:rsidR="00A77B3E" w:rsidRPr="00755896" w:rsidRDefault="00755896" w:rsidP="00755896">
            <w:pPr>
              <w:spacing w:before="100"/>
              <w:jc w:val="both"/>
              <w:rPr>
                <w:color w:val="000000"/>
                <w:lang w:val="bg-BG"/>
              </w:rPr>
            </w:pPr>
            <w:r w:rsidRPr="00755896">
              <w:rPr>
                <w:color w:val="000000"/>
                <w:lang w:val="bg-BG"/>
              </w:rPr>
              <w:t>Оперативната подкрепа ще покрива: поддръжка на техническо оборудване и транспортни средства.</w:t>
            </w:r>
          </w:p>
        </w:tc>
      </w:tr>
    </w:tbl>
    <w:p w14:paraId="33B73AE8" w14:textId="77777777" w:rsidR="00A77B3E" w:rsidRPr="00755896" w:rsidRDefault="00A77B3E">
      <w:pPr>
        <w:spacing w:before="100"/>
        <w:rPr>
          <w:color w:val="000000"/>
          <w:lang w:val="bg-BG"/>
        </w:rPr>
        <w:sectPr w:rsidR="00A77B3E" w:rsidRPr="00755896">
          <w:headerReference w:type="even" r:id="rId41"/>
          <w:headerReference w:type="default" r:id="rId42"/>
          <w:footerReference w:type="even" r:id="rId43"/>
          <w:footerReference w:type="default" r:id="rId44"/>
          <w:headerReference w:type="first" r:id="rId45"/>
          <w:footerReference w:type="first" r:id="rId46"/>
          <w:pgSz w:w="11906" w:h="16838"/>
          <w:pgMar w:top="720" w:right="936" w:bottom="864" w:left="720" w:header="0" w:footer="72" w:gutter="0"/>
          <w:cols w:space="720"/>
          <w:noEndnote/>
          <w:docGrid w:linePitch="360"/>
        </w:sectPr>
      </w:pPr>
    </w:p>
    <w:p w14:paraId="175BAAE1" w14:textId="77777777" w:rsidR="00A77B3E" w:rsidRPr="00755896" w:rsidRDefault="00E62050">
      <w:pPr>
        <w:spacing w:before="100"/>
        <w:rPr>
          <w:color w:val="000000"/>
          <w:lang w:val="bg-BG"/>
        </w:rPr>
      </w:pPr>
      <w:r w:rsidRPr="00755896">
        <w:rPr>
          <w:color w:val="000000"/>
          <w:lang w:val="bg-BG"/>
        </w:rPr>
        <w:lastRenderedPageBreak/>
        <w:t xml:space="preserve">2.1. </w:t>
      </w:r>
      <w:r w:rsidR="00755896" w:rsidRPr="00755896">
        <w:rPr>
          <w:color w:val="000000"/>
          <w:lang w:val="bg-BG"/>
        </w:rPr>
        <w:t>Специфична цел 3: Предотвратяване и борба с престъпността</w:t>
      </w:r>
    </w:p>
    <w:p w14:paraId="32B72FFD" w14:textId="77777777" w:rsidR="00A77B3E" w:rsidRPr="00755896" w:rsidRDefault="00E62050">
      <w:pPr>
        <w:pStyle w:val="Heading3"/>
        <w:spacing w:before="100" w:after="0"/>
        <w:rPr>
          <w:rFonts w:ascii="Times New Roman" w:hAnsi="Times New Roman" w:cs="Times New Roman"/>
          <w:b w:val="0"/>
          <w:color w:val="000000"/>
          <w:sz w:val="24"/>
          <w:lang w:val="bg-BG"/>
        </w:rPr>
      </w:pPr>
      <w:bookmarkStart w:id="20" w:name="_Toc129599292"/>
      <w:r w:rsidRPr="00755896">
        <w:rPr>
          <w:rFonts w:ascii="Times New Roman" w:hAnsi="Times New Roman" w:cs="Times New Roman"/>
          <w:b w:val="0"/>
          <w:color w:val="000000"/>
          <w:sz w:val="24"/>
          <w:lang w:val="bg-BG"/>
        </w:rPr>
        <w:t xml:space="preserve">2.1.2. </w:t>
      </w:r>
      <w:r w:rsidR="00755896" w:rsidRPr="00755896">
        <w:rPr>
          <w:rFonts w:ascii="Times New Roman" w:hAnsi="Times New Roman" w:cs="Times New Roman"/>
          <w:b w:val="0"/>
          <w:color w:val="000000"/>
          <w:sz w:val="24"/>
          <w:lang w:val="bg-BG"/>
        </w:rPr>
        <w:t>Показатели</w:t>
      </w:r>
      <w:bookmarkEnd w:id="20"/>
    </w:p>
    <w:p w14:paraId="38B8C3DE" w14:textId="77777777" w:rsidR="00A77B3E" w:rsidRDefault="00755896">
      <w:pPr>
        <w:spacing w:before="100"/>
        <w:rPr>
          <w:color w:val="000000"/>
          <w:lang w:val="bg-BG"/>
        </w:rPr>
      </w:pPr>
      <w:r w:rsidRPr="00755896">
        <w:rPr>
          <w:color w:val="000000"/>
          <w:lang w:val="bg-BG"/>
        </w:rPr>
        <w:t>Основание: член 22, параграф 4, буква д) от РОР</w:t>
      </w:r>
    </w:p>
    <w:p w14:paraId="233EF604" w14:textId="77777777" w:rsidR="00A77B3E" w:rsidRPr="00755896" w:rsidRDefault="00755896">
      <w:pPr>
        <w:pStyle w:val="Heading4"/>
        <w:spacing w:before="100" w:after="0"/>
        <w:rPr>
          <w:b w:val="0"/>
          <w:color w:val="000000"/>
          <w:sz w:val="24"/>
          <w:lang w:val="bg-BG"/>
        </w:rPr>
      </w:pPr>
      <w:bookmarkStart w:id="21" w:name="_Toc129599293"/>
      <w:r w:rsidRPr="00755896">
        <w:rPr>
          <w:b w:val="0"/>
          <w:color w:val="000000"/>
          <w:sz w:val="24"/>
          <w:lang w:val="bg-BG"/>
        </w:rPr>
        <w:t>Таблица 1: Показатели за крайния продукт</w:t>
      </w:r>
      <w:bookmarkEnd w:id="21"/>
    </w:p>
    <w:p w14:paraId="4170AD2D" w14:textId="77777777" w:rsidR="00A77B3E" w:rsidRPr="00755896" w:rsidRDefault="00A77B3E">
      <w:pPr>
        <w:spacing w:before="100"/>
        <w:rPr>
          <w:color w:val="000000"/>
          <w:sz w:val="0"/>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8532"/>
        <w:gridCol w:w="1195"/>
        <w:gridCol w:w="1702"/>
        <w:gridCol w:w="1738"/>
      </w:tblGrid>
      <w:tr w:rsidR="00755896" w14:paraId="595671E7" w14:textId="77777777" w:rsidTr="00235B8B">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B07A41" w14:textId="77777777" w:rsidR="00755896" w:rsidRPr="0061606A" w:rsidRDefault="00755896" w:rsidP="00235B8B">
            <w:pPr>
              <w:spacing w:before="100"/>
              <w:jc w:val="center"/>
              <w:rPr>
                <w:color w:val="000000"/>
                <w:sz w:val="20"/>
                <w:szCs w:val="20"/>
              </w:rPr>
            </w:pPr>
            <w:r w:rsidRPr="0061606A">
              <w:rPr>
                <w:sz w:val="20"/>
                <w:szCs w:val="20"/>
              </w:rPr>
              <w:t>Идентификационен код</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4EE075" w14:textId="77777777" w:rsidR="00755896" w:rsidRPr="0061606A" w:rsidRDefault="00755896" w:rsidP="00235B8B">
            <w:pPr>
              <w:spacing w:before="100"/>
              <w:jc w:val="center"/>
              <w:rPr>
                <w:color w:val="000000"/>
                <w:sz w:val="20"/>
                <w:szCs w:val="20"/>
              </w:rPr>
            </w:pPr>
            <w:r w:rsidRPr="0061606A">
              <w:rPr>
                <w:sz w:val="20"/>
                <w:szCs w:val="20"/>
              </w:rPr>
              <w:t>Показател</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05E856" w14:textId="77777777" w:rsidR="00755896" w:rsidRPr="0061606A" w:rsidRDefault="00755896" w:rsidP="00235B8B">
            <w:pPr>
              <w:spacing w:before="100"/>
              <w:jc w:val="center"/>
              <w:rPr>
                <w:color w:val="000000"/>
                <w:sz w:val="20"/>
                <w:szCs w:val="20"/>
              </w:rPr>
            </w:pPr>
            <w:r w:rsidRPr="0061606A">
              <w:rPr>
                <w:sz w:val="20"/>
                <w:szCs w:val="20"/>
              </w:rPr>
              <w:t>Мерна единица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AEDA39" w14:textId="77777777" w:rsidR="00755896" w:rsidRPr="0061606A" w:rsidRDefault="00755896" w:rsidP="00235B8B">
            <w:pPr>
              <w:spacing w:before="100"/>
              <w:jc w:val="center"/>
              <w:rPr>
                <w:color w:val="000000"/>
                <w:sz w:val="20"/>
                <w:szCs w:val="20"/>
              </w:rPr>
            </w:pPr>
            <w:r w:rsidRPr="0061606A">
              <w:rPr>
                <w:sz w:val="20"/>
                <w:szCs w:val="20"/>
              </w:rPr>
              <w:t>Междинна цел (2024 г.)</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F69246" w14:textId="77777777" w:rsidR="00755896" w:rsidRPr="0061606A" w:rsidRDefault="00755896" w:rsidP="00235B8B">
            <w:pPr>
              <w:spacing w:before="100"/>
              <w:jc w:val="center"/>
              <w:rPr>
                <w:color w:val="000000"/>
                <w:sz w:val="20"/>
                <w:szCs w:val="20"/>
              </w:rPr>
            </w:pPr>
            <w:r w:rsidRPr="0061606A">
              <w:rPr>
                <w:sz w:val="20"/>
                <w:szCs w:val="20"/>
              </w:rPr>
              <w:t>Целева стойност (2029 г.)</w:t>
            </w:r>
          </w:p>
        </w:tc>
      </w:tr>
      <w:tr w:rsidR="00755896" w14:paraId="55223A46"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5C8907" w14:textId="77777777" w:rsidR="00755896" w:rsidRPr="009E16C5" w:rsidRDefault="00755896" w:rsidP="00235B8B">
            <w:pPr>
              <w:spacing w:before="100"/>
              <w:rPr>
                <w:color w:val="000000"/>
                <w:sz w:val="20"/>
              </w:rPr>
            </w:pPr>
            <w:r w:rsidRPr="009E16C5">
              <w:rPr>
                <w:color w:val="000000"/>
                <w:sz w:val="20"/>
              </w:rPr>
              <w:t>O.3.1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01B0C7" w14:textId="77777777" w:rsidR="00755896" w:rsidRPr="0061606A" w:rsidRDefault="00755896" w:rsidP="00235B8B">
            <w:pPr>
              <w:spacing w:before="100"/>
              <w:rPr>
                <w:color w:val="000000"/>
                <w:sz w:val="20"/>
                <w:szCs w:val="20"/>
              </w:rPr>
            </w:pPr>
            <w:r w:rsidRPr="0061606A">
              <w:rPr>
                <w:sz w:val="20"/>
                <w:szCs w:val="20"/>
              </w:rPr>
              <w:t>Брой участници в дейности по обучение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E796F6" w14:textId="77777777" w:rsidR="00755896" w:rsidRPr="0061606A" w:rsidRDefault="00755896" w:rsidP="00235B8B">
            <w:pPr>
              <w:spacing w:before="100"/>
              <w:rPr>
                <w:color w:val="000000"/>
                <w:sz w:val="20"/>
                <w:szCs w:val="20"/>
              </w:rPr>
            </w:pPr>
            <w:r w:rsidRPr="0061606A">
              <w:rPr>
                <w:sz w:val="20"/>
                <w:szCs w:val="20"/>
              </w:rPr>
              <w:t xml:space="preserve">Брой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973EF2" w14:textId="77777777" w:rsidR="00755896" w:rsidRPr="009E16C5" w:rsidRDefault="00755896" w:rsidP="00235B8B">
            <w:pPr>
              <w:spacing w:before="100"/>
              <w:jc w:val="right"/>
              <w:rPr>
                <w:color w:val="000000"/>
                <w:sz w:val="20"/>
              </w:rPr>
            </w:pPr>
            <w:r>
              <w:rPr>
                <w:color w:val="000000"/>
                <w:sz w:val="20"/>
              </w:rPr>
              <w:t>3380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56B31C" w14:textId="77777777" w:rsidR="00755896" w:rsidRPr="009E16C5" w:rsidRDefault="00755896" w:rsidP="00235B8B">
            <w:pPr>
              <w:spacing w:before="100"/>
              <w:jc w:val="right"/>
              <w:rPr>
                <w:color w:val="000000"/>
                <w:sz w:val="20"/>
              </w:rPr>
            </w:pPr>
            <w:r>
              <w:rPr>
                <w:color w:val="000000"/>
                <w:sz w:val="20"/>
              </w:rPr>
              <w:t>6627</w:t>
            </w:r>
          </w:p>
        </w:tc>
      </w:tr>
      <w:tr w:rsidR="00755896" w14:paraId="2707E762"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226813" w14:textId="77777777" w:rsidR="00755896" w:rsidRPr="009E16C5" w:rsidRDefault="00755896" w:rsidP="00235B8B">
            <w:pPr>
              <w:spacing w:before="100"/>
              <w:rPr>
                <w:color w:val="000000"/>
                <w:sz w:val="20"/>
              </w:rPr>
            </w:pPr>
            <w:r w:rsidRPr="009E16C5">
              <w:rPr>
                <w:color w:val="000000"/>
                <w:sz w:val="20"/>
              </w:rPr>
              <w:t>O.3.2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FF4FCF" w14:textId="77777777" w:rsidR="00755896" w:rsidRPr="0061606A" w:rsidRDefault="00755896" w:rsidP="00235B8B">
            <w:pPr>
              <w:spacing w:before="100"/>
              <w:rPr>
                <w:color w:val="000000"/>
                <w:sz w:val="20"/>
                <w:szCs w:val="20"/>
              </w:rPr>
            </w:pPr>
            <w:r w:rsidRPr="0061606A">
              <w:rPr>
                <w:sz w:val="20"/>
                <w:szCs w:val="20"/>
              </w:rPr>
              <w:t>Брой програми за обмен/семинари/проучвателни посещения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586CD" w14:textId="77777777" w:rsidR="00755896" w:rsidRPr="0061606A" w:rsidRDefault="00755896" w:rsidP="00235B8B">
            <w:pPr>
              <w:spacing w:before="100"/>
              <w:rPr>
                <w:color w:val="000000"/>
                <w:sz w:val="20"/>
                <w:szCs w:val="20"/>
              </w:rPr>
            </w:pPr>
            <w:r w:rsidRPr="0061606A">
              <w:rPr>
                <w:sz w:val="20"/>
                <w:szCs w:val="20"/>
              </w:rPr>
              <w:t xml:space="preserve">Брой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312EB5" w14:textId="77777777" w:rsidR="00755896" w:rsidRPr="009E16C5" w:rsidRDefault="00755896" w:rsidP="00235B8B">
            <w:pPr>
              <w:spacing w:before="100"/>
              <w:jc w:val="right"/>
              <w:rPr>
                <w:color w:val="000000"/>
                <w:sz w:val="20"/>
              </w:rPr>
            </w:pPr>
            <w:r>
              <w:rPr>
                <w:color w:val="000000"/>
                <w:sz w:val="20"/>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D98D21" w14:textId="77777777" w:rsidR="00755896" w:rsidRPr="009E16C5" w:rsidRDefault="00755896" w:rsidP="00235B8B">
            <w:pPr>
              <w:spacing w:before="100"/>
              <w:jc w:val="right"/>
              <w:rPr>
                <w:color w:val="000000"/>
                <w:sz w:val="20"/>
              </w:rPr>
            </w:pPr>
            <w:r>
              <w:rPr>
                <w:color w:val="000000"/>
                <w:sz w:val="20"/>
              </w:rPr>
              <w:t>121</w:t>
            </w:r>
          </w:p>
        </w:tc>
      </w:tr>
      <w:tr w:rsidR="00755896" w14:paraId="7ED0C452"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445D82" w14:textId="77777777" w:rsidR="00755896" w:rsidRPr="009E16C5" w:rsidRDefault="00755896" w:rsidP="00235B8B">
            <w:pPr>
              <w:spacing w:before="100"/>
              <w:rPr>
                <w:color w:val="000000"/>
                <w:sz w:val="20"/>
              </w:rPr>
            </w:pPr>
            <w:r w:rsidRPr="009E16C5">
              <w:rPr>
                <w:color w:val="000000"/>
                <w:sz w:val="20"/>
              </w:rPr>
              <w:t>O.3.3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C44C4C" w14:textId="77777777" w:rsidR="00755896" w:rsidRPr="0061606A" w:rsidRDefault="00755896" w:rsidP="00235B8B">
            <w:pPr>
              <w:spacing w:before="100"/>
              <w:rPr>
                <w:color w:val="000000"/>
                <w:sz w:val="20"/>
                <w:szCs w:val="20"/>
              </w:rPr>
            </w:pPr>
            <w:r w:rsidRPr="0061606A">
              <w:rPr>
                <w:sz w:val="20"/>
                <w:szCs w:val="20"/>
              </w:rPr>
              <w:t>Брой закупени единици оборудване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FD40E" w14:textId="77777777" w:rsidR="00755896" w:rsidRPr="0061606A" w:rsidRDefault="00755896" w:rsidP="00235B8B">
            <w:pPr>
              <w:spacing w:before="100"/>
              <w:rPr>
                <w:color w:val="000000"/>
                <w:sz w:val="20"/>
                <w:szCs w:val="20"/>
              </w:rPr>
            </w:pPr>
            <w:r w:rsidRPr="0061606A">
              <w:rPr>
                <w:sz w:val="20"/>
                <w:szCs w:val="20"/>
              </w:rPr>
              <w:t xml:space="preserve">Брой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66EBC2" w14:textId="77777777" w:rsidR="00755896" w:rsidRPr="009E16C5" w:rsidRDefault="00755896" w:rsidP="00235B8B">
            <w:pPr>
              <w:spacing w:before="100"/>
              <w:jc w:val="right"/>
              <w:rPr>
                <w:color w:val="000000"/>
                <w:sz w:val="20"/>
              </w:rPr>
            </w:pPr>
            <w:r>
              <w:rPr>
                <w:color w:val="000000"/>
                <w:sz w:val="20"/>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6F670A" w14:textId="77777777" w:rsidR="00755896" w:rsidRPr="00605CA3" w:rsidRDefault="00755896" w:rsidP="00235B8B">
            <w:pPr>
              <w:spacing w:before="100"/>
              <w:jc w:val="right"/>
              <w:rPr>
                <w:color w:val="000000"/>
                <w:sz w:val="20"/>
              </w:rPr>
            </w:pPr>
            <w:r>
              <w:rPr>
                <w:color w:val="000000"/>
                <w:sz w:val="20"/>
              </w:rPr>
              <w:t>1516</w:t>
            </w:r>
          </w:p>
        </w:tc>
      </w:tr>
      <w:tr w:rsidR="00755896" w14:paraId="368EE7A0"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0867E4" w14:textId="77777777" w:rsidR="00755896" w:rsidRPr="009E16C5" w:rsidRDefault="00755896" w:rsidP="00235B8B">
            <w:pPr>
              <w:spacing w:before="100"/>
              <w:rPr>
                <w:color w:val="000000"/>
                <w:sz w:val="20"/>
              </w:rPr>
            </w:pPr>
            <w:r w:rsidRPr="009E16C5">
              <w:rPr>
                <w:color w:val="000000"/>
                <w:sz w:val="20"/>
              </w:rPr>
              <w:t>O.3.4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865119" w14:textId="77777777" w:rsidR="00755896" w:rsidRPr="0061606A" w:rsidRDefault="00755896" w:rsidP="00235B8B">
            <w:pPr>
              <w:spacing w:before="100"/>
              <w:rPr>
                <w:color w:val="000000"/>
                <w:sz w:val="20"/>
                <w:szCs w:val="20"/>
              </w:rPr>
            </w:pPr>
            <w:r w:rsidRPr="0061606A">
              <w:rPr>
                <w:sz w:val="20"/>
                <w:szCs w:val="20"/>
              </w:rPr>
              <w:t>Брой закупени транспортни средства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E1F98E" w14:textId="77777777" w:rsidR="00755896" w:rsidRPr="0061606A" w:rsidRDefault="00755896" w:rsidP="00235B8B">
            <w:pPr>
              <w:spacing w:before="100"/>
              <w:rPr>
                <w:color w:val="000000"/>
                <w:sz w:val="20"/>
                <w:szCs w:val="20"/>
              </w:rPr>
            </w:pPr>
            <w:r w:rsidRPr="0061606A">
              <w:rPr>
                <w:sz w:val="20"/>
                <w:szCs w:val="20"/>
              </w:rPr>
              <w:t xml:space="preserve">Брой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2FB5BF" w14:textId="77777777" w:rsidR="00755896" w:rsidRPr="009E16C5" w:rsidRDefault="00755896" w:rsidP="00235B8B">
            <w:pPr>
              <w:spacing w:before="100"/>
              <w:jc w:val="right"/>
              <w:rPr>
                <w:color w:val="000000"/>
                <w:sz w:val="20"/>
              </w:rPr>
            </w:pPr>
            <w:r w:rsidRPr="009E16C5">
              <w:rPr>
                <w:color w:val="000000"/>
                <w:sz w:val="20"/>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5C2F49" w14:textId="77777777" w:rsidR="00755896" w:rsidRPr="009E16C5" w:rsidRDefault="00755896" w:rsidP="00235B8B">
            <w:pPr>
              <w:spacing w:before="100"/>
              <w:jc w:val="right"/>
              <w:rPr>
                <w:color w:val="000000"/>
                <w:sz w:val="20"/>
              </w:rPr>
            </w:pPr>
            <w:r w:rsidRPr="009E16C5">
              <w:rPr>
                <w:color w:val="000000"/>
                <w:sz w:val="20"/>
              </w:rPr>
              <w:t>32</w:t>
            </w:r>
          </w:p>
        </w:tc>
      </w:tr>
      <w:tr w:rsidR="00755896" w14:paraId="42883B64"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58B261" w14:textId="77777777" w:rsidR="00755896" w:rsidRPr="009E16C5" w:rsidRDefault="00755896" w:rsidP="00235B8B">
            <w:pPr>
              <w:spacing w:before="100"/>
              <w:rPr>
                <w:color w:val="000000"/>
                <w:sz w:val="20"/>
              </w:rPr>
            </w:pPr>
            <w:r w:rsidRPr="009E16C5">
              <w:rPr>
                <w:color w:val="000000"/>
                <w:sz w:val="20"/>
              </w:rPr>
              <w:t>O.3.5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BFF122" w14:textId="77777777" w:rsidR="00755896" w:rsidRPr="0061606A" w:rsidRDefault="00755896" w:rsidP="00235B8B">
            <w:pPr>
              <w:spacing w:before="100"/>
              <w:rPr>
                <w:color w:val="000000"/>
                <w:sz w:val="20"/>
                <w:szCs w:val="20"/>
              </w:rPr>
            </w:pPr>
            <w:r w:rsidRPr="0061606A">
              <w:rPr>
                <w:sz w:val="20"/>
                <w:szCs w:val="20"/>
              </w:rPr>
              <w:t>Брой изградени/закупени/модернизирани компоненти на инфраструктурата/свързани със сигурността съоръжения/ инструменти/механизми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925A2E" w14:textId="77777777" w:rsidR="00755896" w:rsidRPr="0061606A" w:rsidRDefault="00755896" w:rsidP="00235B8B">
            <w:pPr>
              <w:spacing w:before="100"/>
              <w:rPr>
                <w:color w:val="000000"/>
                <w:sz w:val="20"/>
                <w:szCs w:val="20"/>
              </w:rPr>
            </w:pPr>
            <w:r w:rsidRPr="0061606A">
              <w:rPr>
                <w:sz w:val="20"/>
                <w:szCs w:val="20"/>
              </w:rPr>
              <w:t xml:space="preserve">Брой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9A4C5C" w14:textId="77777777" w:rsidR="00755896" w:rsidRPr="009E16C5" w:rsidRDefault="00755896" w:rsidP="00235B8B">
            <w:pPr>
              <w:spacing w:before="100"/>
              <w:jc w:val="right"/>
              <w:rPr>
                <w:color w:val="000000"/>
                <w:sz w:val="20"/>
              </w:rPr>
            </w:pPr>
            <w:r w:rsidRPr="009E16C5">
              <w:rPr>
                <w:color w:val="000000"/>
                <w:sz w:val="20"/>
              </w:rPr>
              <w:t>562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70415C" w14:textId="77777777" w:rsidR="00755896" w:rsidRPr="0030197A" w:rsidRDefault="00755896" w:rsidP="00235B8B">
            <w:pPr>
              <w:spacing w:before="100"/>
              <w:jc w:val="right"/>
              <w:rPr>
                <w:color w:val="000000"/>
                <w:sz w:val="20"/>
              </w:rPr>
            </w:pPr>
            <w:r>
              <w:rPr>
                <w:color w:val="000000"/>
                <w:sz w:val="20"/>
              </w:rPr>
              <w:t>576</w:t>
            </w:r>
          </w:p>
        </w:tc>
      </w:tr>
      <w:tr w:rsidR="00755896" w14:paraId="54285EA3"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5B446A" w14:textId="77777777" w:rsidR="00755896" w:rsidRDefault="00755896" w:rsidP="00235B8B">
            <w:pPr>
              <w:spacing w:before="100"/>
              <w:rPr>
                <w:color w:val="000000"/>
                <w:sz w:val="20"/>
              </w:rPr>
            </w:pPr>
            <w:r>
              <w:rPr>
                <w:color w:val="000000"/>
                <w:sz w:val="20"/>
              </w:rPr>
              <w:t>O.3.6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5C9595" w14:textId="77777777" w:rsidR="00755896" w:rsidRPr="0061606A" w:rsidRDefault="00755896" w:rsidP="00235B8B">
            <w:pPr>
              <w:spacing w:before="100"/>
              <w:rPr>
                <w:color w:val="000000"/>
                <w:sz w:val="20"/>
                <w:szCs w:val="20"/>
              </w:rPr>
            </w:pPr>
            <w:r w:rsidRPr="0061606A">
              <w:rPr>
                <w:sz w:val="20"/>
                <w:szCs w:val="20"/>
              </w:rPr>
              <w:t>Брой проекти за предотвратяване на престъпления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E377BA" w14:textId="77777777" w:rsidR="00755896" w:rsidRPr="0061606A" w:rsidRDefault="00755896" w:rsidP="00235B8B">
            <w:pPr>
              <w:spacing w:before="100"/>
              <w:rPr>
                <w:color w:val="000000"/>
                <w:sz w:val="20"/>
                <w:szCs w:val="20"/>
              </w:rPr>
            </w:pPr>
            <w:r w:rsidRPr="0061606A">
              <w:rPr>
                <w:sz w:val="20"/>
                <w:szCs w:val="20"/>
              </w:rPr>
              <w:t xml:space="preserve">Брой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750B7E" w14:textId="77777777" w:rsidR="00755896" w:rsidRDefault="00755896" w:rsidP="00235B8B">
            <w:pPr>
              <w:spacing w:before="100"/>
              <w:jc w:val="right"/>
              <w:rPr>
                <w:color w:val="000000"/>
                <w:sz w:val="20"/>
              </w:rPr>
            </w:pPr>
            <w:r>
              <w:rPr>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4689FC" w14:textId="77777777" w:rsidR="00755896" w:rsidRPr="0055036C" w:rsidRDefault="00755896" w:rsidP="00235B8B">
            <w:pPr>
              <w:spacing w:before="100"/>
              <w:jc w:val="right"/>
              <w:rPr>
                <w:color w:val="000000"/>
                <w:sz w:val="20"/>
              </w:rPr>
            </w:pPr>
            <w:r>
              <w:rPr>
                <w:color w:val="000000"/>
                <w:sz w:val="20"/>
              </w:rPr>
              <w:t>6</w:t>
            </w:r>
          </w:p>
        </w:tc>
      </w:tr>
      <w:tr w:rsidR="00755896" w14:paraId="2B168C31"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C3881B" w14:textId="77777777" w:rsidR="00755896" w:rsidRDefault="00755896" w:rsidP="00235B8B">
            <w:pPr>
              <w:spacing w:before="100"/>
              <w:rPr>
                <w:color w:val="000000"/>
                <w:sz w:val="20"/>
              </w:rPr>
            </w:pPr>
            <w:r>
              <w:rPr>
                <w:color w:val="000000"/>
                <w:sz w:val="20"/>
              </w:rPr>
              <w:t>O.3.7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493513" w14:textId="77777777" w:rsidR="00755896" w:rsidRPr="0061606A" w:rsidRDefault="00755896" w:rsidP="00235B8B">
            <w:pPr>
              <w:spacing w:before="100"/>
              <w:rPr>
                <w:color w:val="000000"/>
                <w:sz w:val="20"/>
                <w:szCs w:val="20"/>
              </w:rPr>
            </w:pPr>
            <w:r w:rsidRPr="0061606A">
              <w:rPr>
                <w:sz w:val="20"/>
                <w:szCs w:val="20"/>
              </w:rPr>
              <w:t>Брой проекти за подпомагане на жертвите на престъпления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85D566" w14:textId="77777777" w:rsidR="00755896" w:rsidRPr="0061606A" w:rsidRDefault="00755896" w:rsidP="00235B8B">
            <w:pPr>
              <w:spacing w:before="100"/>
              <w:rPr>
                <w:color w:val="000000"/>
                <w:sz w:val="20"/>
                <w:szCs w:val="20"/>
              </w:rPr>
            </w:pPr>
            <w:r w:rsidRPr="0061606A">
              <w:rPr>
                <w:sz w:val="20"/>
                <w:szCs w:val="20"/>
              </w:rPr>
              <w:t xml:space="preserve">Брой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586613" w14:textId="77777777" w:rsidR="00755896" w:rsidRPr="0055036C" w:rsidRDefault="00755896" w:rsidP="00235B8B">
            <w:pPr>
              <w:spacing w:before="100"/>
              <w:jc w:val="right"/>
              <w:rPr>
                <w:color w:val="000000"/>
                <w:sz w:val="20"/>
              </w:rPr>
            </w:pPr>
            <w:r>
              <w:rPr>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50AD56" w14:textId="77777777" w:rsidR="00755896" w:rsidRPr="0055036C" w:rsidRDefault="00755896" w:rsidP="00235B8B">
            <w:pPr>
              <w:spacing w:before="100"/>
              <w:jc w:val="right"/>
              <w:rPr>
                <w:color w:val="000000"/>
                <w:sz w:val="20"/>
              </w:rPr>
            </w:pPr>
            <w:r>
              <w:rPr>
                <w:color w:val="000000"/>
                <w:sz w:val="20"/>
              </w:rPr>
              <w:t>3</w:t>
            </w:r>
          </w:p>
        </w:tc>
      </w:tr>
      <w:tr w:rsidR="00755896" w14:paraId="792EABE8"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0D0660" w14:textId="77777777" w:rsidR="00755896" w:rsidRDefault="00755896" w:rsidP="00235B8B">
            <w:pPr>
              <w:spacing w:before="100"/>
              <w:rPr>
                <w:color w:val="000000"/>
                <w:sz w:val="20"/>
              </w:rPr>
            </w:pPr>
            <w:r>
              <w:rPr>
                <w:color w:val="000000"/>
                <w:sz w:val="20"/>
              </w:rPr>
              <w:t>O.3.8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BA4ACB" w14:textId="77777777" w:rsidR="00755896" w:rsidRPr="0061606A" w:rsidRDefault="00755896" w:rsidP="00235B8B">
            <w:pPr>
              <w:spacing w:before="100"/>
              <w:rPr>
                <w:color w:val="000000"/>
                <w:sz w:val="20"/>
                <w:szCs w:val="20"/>
              </w:rPr>
            </w:pPr>
            <w:r w:rsidRPr="0061606A">
              <w:rPr>
                <w:sz w:val="20"/>
                <w:szCs w:val="20"/>
              </w:rPr>
              <w:t>Брой жертви на престъпления, на които е оказана помощ</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D4373F" w14:textId="77777777" w:rsidR="00755896" w:rsidRPr="0061606A" w:rsidRDefault="00755896" w:rsidP="00235B8B">
            <w:pPr>
              <w:spacing w:before="100"/>
              <w:rPr>
                <w:color w:val="000000"/>
                <w:sz w:val="20"/>
                <w:szCs w:val="20"/>
              </w:rPr>
            </w:pPr>
            <w:r w:rsidRPr="0061606A">
              <w:rPr>
                <w:sz w:val="20"/>
                <w:szCs w:val="20"/>
              </w:rPr>
              <w:t xml:space="preserve">Брой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583C23" w14:textId="77777777" w:rsidR="00755896" w:rsidRDefault="00755896" w:rsidP="00235B8B">
            <w:pPr>
              <w:spacing w:before="100"/>
              <w:jc w:val="right"/>
              <w:rPr>
                <w:color w:val="000000"/>
                <w:sz w:val="20"/>
              </w:rPr>
            </w:pPr>
            <w:r>
              <w:rPr>
                <w:color w:val="000000"/>
                <w:sz w:val="20"/>
              </w:rPr>
              <w:t>160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07D2CB" w14:textId="77777777" w:rsidR="00755896" w:rsidRDefault="00755896" w:rsidP="00235B8B">
            <w:pPr>
              <w:spacing w:before="100"/>
              <w:jc w:val="right"/>
              <w:rPr>
                <w:color w:val="000000"/>
                <w:sz w:val="20"/>
              </w:rPr>
            </w:pPr>
            <w:r>
              <w:rPr>
                <w:color w:val="000000"/>
                <w:sz w:val="20"/>
              </w:rPr>
              <w:t>420</w:t>
            </w:r>
          </w:p>
        </w:tc>
      </w:tr>
    </w:tbl>
    <w:p w14:paraId="0E85CE48" w14:textId="77777777" w:rsidR="00A77B3E" w:rsidRDefault="00E62050">
      <w:pPr>
        <w:spacing w:before="100"/>
        <w:rPr>
          <w:color w:val="000000"/>
        </w:rPr>
      </w:pPr>
      <w:r>
        <w:rPr>
          <w:color w:val="000000"/>
          <w:sz w:val="20"/>
        </w:rPr>
        <w:br w:type="page"/>
      </w:r>
      <w:r>
        <w:rPr>
          <w:color w:val="000000"/>
        </w:rPr>
        <w:lastRenderedPageBreak/>
        <w:t xml:space="preserve">2.1. </w:t>
      </w:r>
      <w:r w:rsidR="00653C73" w:rsidRPr="00653C73">
        <w:rPr>
          <w:color w:val="000000"/>
        </w:rPr>
        <w:t>Специфична цел 3: Предотвратяване и борба с престъпността</w:t>
      </w:r>
    </w:p>
    <w:p w14:paraId="3E476252" w14:textId="77777777" w:rsidR="00A77B3E" w:rsidRDefault="00E62050">
      <w:pPr>
        <w:spacing w:before="100"/>
        <w:rPr>
          <w:color w:val="000000"/>
          <w:sz w:val="0"/>
        </w:rPr>
      </w:pPr>
      <w:r>
        <w:rPr>
          <w:color w:val="000000"/>
        </w:rPr>
        <w:t xml:space="preserve">2.1.2. </w:t>
      </w:r>
      <w:r w:rsidR="00653C73" w:rsidRPr="00653C73">
        <w:rPr>
          <w:color w:val="000000"/>
        </w:rPr>
        <w:t>Показатели</w:t>
      </w:r>
    </w:p>
    <w:p w14:paraId="5393A62D" w14:textId="77777777" w:rsidR="00A77B3E" w:rsidRDefault="00653C73">
      <w:pPr>
        <w:spacing w:before="100"/>
        <w:rPr>
          <w:color w:val="000000"/>
        </w:rPr>
      </w:pPr>
      <w:r w:rsidRPr="00653C73">
        <w:rPr>
          <w:color w:val="000000"/>
        </w:rPr>
        <w:t>Основание: член 22, параграф 4, буква д) от РОР</w:t>
      </w:r>
    </w:p>
    <w:p w14:paraId="625AE3A3" w14:textId="77777777" w:rsidR="00A77B3E" w:rsidRDefault="00653C73">
      <w:pPr>
        <w:pStyle w:val="Heading4"/>
        <w:spacing w:before="100" w:after="0"/>
        <w:rPr>
          <w:b w:val="0"/>
          <w:color w:val="000000"/>
          <w:sz w:val="24"/>
        </w:rPr>
      </w:pPr>
      <w:bookmarkStart w:id="22" w:name="_Toc129599294"/>
      <w:r w:rsidRPr="00653C73">
        <w:rPr>
          <w:b w:val="0"/>
          <w:color w:val="000000"/>
          <w:sz w:val="24"/>
        </w:rPr>
        <w:t>Таблица 2: Показатели за резултата</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653C73" w14:paraId="1F435B81" w14:textId="77777777" w:rsidTr="00235B8B">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DBD581" w14:textId="77777777" w:rsidR="00653C73" w:rsidRPr="0061606A" w:rsidRDefault="00653C73" w:rsidP="00235B8B">
            <w:pPr>
              <w:spacing w:before="100"/>
              <w:jc w:val="center"/>
              <w:rPr>
                <w:color w:val="000000"/>
                <w:sz w:val="20"/>
                <w:szCs w:val="20"/>
              </w:rPr>
            </w:pPr>
            <w:r w:rsidRPr="008902DE">
              <w:rPr>
                <w:sz w:val="20"/>
              </w:rPr>
              <w:t>Идентификационен код</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9AA848" w14:textId="77777777" w:rsidR="00653C73" w:rsidRPr="0061606A" w:rsidRDefault="00653C73" w:rsidP="00235B8B">
            <w:pPr>
              <w:spacing w:before="100"/>
              <w:jc w:val="center"/>
              <w:rPr>
                <w:color w:val="000000"/>
                <w:sz w:val="20"/>
                <w:szCs w:val="20"/>
              </w:rPr>
            </w:pPr>
            <w:r w:rsidRPr="005468B1">
              <w:rPr>
                <w:color w:val="000000"/>
                <w:sz w:val="20"/>
              </w:rPr>
              <w:t>Показател</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3693A5" w14:textId="77777777" w:rsidR="00653C73" w:rsidRPr="0061606A" w:rsidRDefault="00653C73" w:rsidP="00235B8B">
            <w:pPr>
              <w:spacing w:before="100"/>
              <w:jc w:val="center"/>
              <w:rPr>
                <w:color w:val="000000"/>
                <w:sz w:val="20"/>
                <w:szCs w:val="20"/>
              </w:rPr>
            </w:pPr>
            <w:r w:rsidRPr="005468B1">
              <w:rPr>
                <w:color w:val="000000"/>
                <w:sz w:val="20"/>
              </w:rPr>
              <w:t>Мерна единица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CAF156" w14:textId="77777777" w:rsidR="00653C73" w:rsidRPr="0061606A" w:rsidRDefault="00653C73" w:rsidP="00235B8B">
            <w:pPr>
              <w:spacing w:before="100"/>
              <w:jc w:val="center"/>
              <w:rPr>
                <w:color w:val="000000"/>
                <w:sz w:val="20"/>
                <w:szCs w:val="20"/>
              </w:rPr>
            </w:pPr>
            <w:r w:rsidRPr="00D3301A">
              <w:rPr>
                <w:color w:val="000000"/>
                <w:sz w:val="20"/>
              </w:rPr>
              <w:t>Базов</w:t>
            </w:r>
            <w:r>
              <w:rPr>
                <w:color w:val="000000"/>
                <w:sz w:val="20"/>
              </w:rPr>
              <w:t xml:space="preserve">а </w:t>
            </w:r>
            <w:r w:rsidRPr="00D3301A">
              <w:rPr>
                <w:color w:val="000000"/>
                <w:sz w:val="20"/>
              </w:rPr>
              <w:t>стойност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996CA0" w14:textId="77777777" w:rsidR="00653C73" w:rsidRPr="0061606A" w:rsidRDefault="00653C73" w:rsidP="00235B8B">
            <w:pPr>
              <w:spacing w:before="100"/>
              <w:jc w:val="center"/>
              <w:rPr>
                <w:color w:val="000000"/>
                <w:sz w:val="20"/>
                <w:szCs w:val="20"/>
              </w:rPr>
            </w:pPr>
            <w:r>
              <w:rPr>
                <w:color w:val="000000"/>
                <w:sz w:val="20"/>
              </w:rPr>
              <w:t>Мерна единица за базовата стойност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E8FDAF" w14:textId="77777777" w:rsidR="00653C73" w:rsidRPr="0061606A" w:rsidRDefault="00653C73" w:rsidP="00235B8B">
            <w:pPr>
              <w:spacing w:before="100"/>
              <w:jc w:val="center"/>
              <w:rPr>
                <w:color w:val="000000"/>
                <w:sz w:val="20"/>
                <w:szCs w:val="20"/>
              </w:rPr>
            </w:pPr>
            <w:r>
              <w:rPr>
                <w:color w:val="000000"/>
                <w:sz w:val="20"/>
              </w:rPr>
              <w:t>Референтна(и) година(и)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58E7F5" w14:textId="77777777" w:rsidR="00653C73" w:rsidRPr="0061606A" w:rsidRDefault="00653C73" w:rsidP="00235B8B">
            <w:pPr>
              <w:spacing w:before="100"/>
              <w:jc w:val="center"/>
              <w:rPr>
                <w:color w:val="000000"/>
                <w:sz w:val="20"/>
                <w:szCs w:val="20"/>
              </w:rPr>
            </w:pPr>
            <w:r w:rsidRPr="008902DE">
              <w:rPr>
                <w:color w:val="000000"/>
                <w:sz w:val="20"/>
              </w:rPr>
              <w:t>Целева стойност</w:t>
            </w:r>
            <w:r>
              <w:rPr>
                <w:color w:val="000000"/>
                <w:sz w:val="20"/>
              </w:rPr>
              <w:t xml:space="preserve"> (2029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C7837D" w14:textId="77777777" w:rsidR="00653C73" w:rsidRPr="0061606A" w:rsidRDefault="00653C73" w:rsidP="00235B8B">
            <w:pPr>
              <w:spacing w:before="100"/>
              <w:jc w:val="center"/>
              <w:rPr>
                <w:color w:val="000000"/>
                <w:sz w:val="20"/>
                <w:szCs w:val="20"/>
              </w:rPr>
            </w:pPr>
            <w:r>
              <w:rPr>
                <w:color w:val="000000"/>
                <w:sz w:val="20"/>
              </w:rPr>
              <w:t>Мерна единица за ц</w:t>
            </w:r>
            <w:r w:rsidRPr="008902DE">
              <w:rPr>
                <w:color w:val="000000"/>
                <w:sz w:val="20"/>
              </w:rPr>
              <w:t>елева</w:t>
            </w:r>
            <w:r>
              <w:rPr>
                <w:color w:val="000000"/>
                <w:sz w:val="20"/>
              </w:rPr>
              <w:t>та</w:t>
            </w:r>
            <w:r w:rsidRPr="008902DE">
              <w:rPr>
                <w:color w:val="000000"/>
                <w:sz w:val="20"/>
              </w:rPr>
              <w:t xml:space="preserve"> стойност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0C11F4" w14:textId="77777777" w:rsidR="00653C73" w:rsidRPr="0061606A" w:rsidRDefault="00653C73" w:rsidP="00235B8B">
            <w:pPr>
              <w:spacing w:before="100"/>
              <w:jc w:val="center"/>
              <w:rPr>
                <w:color w:val="000000"/>
                <w:sz w:val="20"/>
                <w:szCs w:val="20"/>
              </w:rPr>
            </w:pPr>
            <w:r>
              <w:rPr>
                <w:color w:val="000000"/>
                <w:sz w:val="20"/>
              </w:rPr>
              <w:t>Източник на данни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197251" w14:textId="77777777" w:rsidR="00653C73" w:rsidRPr="0061606A" w:rsidRDefault="00653C73" w:rsidP="00235B8B">
            <w:pPr>
              <w:spacing w:before="100"/>
              <w:rPr>
                <w:color w:val="000000"/>
                <w:sz w:val="20"/>
                <w:szCs w:val="20"/>
              </w:rPr>
            </w:pPr>
            <w:r>
              <w:rPr>
                <w:color w:val="000000"/>
                <w:sz w:val="20"/>
              </w:rPr>
              <w:t>Коментари</w:t>
            </w:r>
          </w:p>
        </w:tc>
      </w:tr>
      <w:tr w:rsidR="00653C73" w14:paraId="3FD46D5F"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1A21AD" w14:textId="77777777" w:rsidR="00653C73" w:rsidRDefault="00653C73" w:rsidP="00235B8B">
            <w:pPr>
              <w:spacing w:before="100"/>
              <w:rPr>
                <w:color w:val="000000"/>
                <w:sz w:val="20"/>
              </w:rPr>
            </w:pPr>
            <w:r>
              <w:rPr>
                <w:color w:val="000000"/>
                <w:sz w:val="20"/>
              </w:rPr>
              <w:t>R.3.9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8AE46E" w14:textId="77777777" w:rsidR="00653C73" w:rsidRPr="00E839E1" w:rsidRDefault="00653C73" w:rsidP="00235B8B">
            <w:pPr>
              <w:spacing w:before="100"/>
              <w:rPr>
                <w:color w:val="000000"/>
                <w:sz w:val="20"/>
                <w:szCs w:val="20"/>
              </w:rPr>
            </w:pPr>
            <w:r w:rsidRPr="00E839E1">
              <w:rPr>
                <w:sz w:val="20"/>
                <w:szCs w:val="20"/>
              </w:rPr>
              <w:t>Брой разработени/разширени инициативи за предотвратяване на радикализацията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6A3018" w14:textId="77777777" w:rsidR="00653C73" w:rsidRDefault="00653C73" w:rsidP="00235B8B">
            <w:pPr>
              <w:spacing w:before="100"/>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C3E449" w14:textId="77777777" w:rsidR="00653C73" w:rsidRDefault="00653C73" w:rsidP="00235B8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1976A5" w14:textId="77777777" w:rsidR="00653C73" w:rsidRDefault="00653C73"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E985A3" w14:textId="77777777" w:rsidR="00653C73" w:rsidRDefault="00653C73" w:rsidP="00235B8B">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B8950F" w14:textId="77777777" w:rsidR="00653C73" w:rsidRPr="00AB6138" w:rsidRDefault="00653C73" w:rsidP="00235B8B">
            <w:pPr>
              <w:spacing w:before="100"/>
              <w:jc w:val="center"/>
              <w:rPr>
                <w:color w:val="000000"/>
                <w:sz w:val="20"/>
              </w:rPr>
            </w:pPr>
            <w:r>
              <w:rPr>
                <w:color w:val="000000"/>
                <w:sz w:val="20"/>
              </w:rPr>
              <w:t>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3B27EF" w14:textId="77777777" w:rsidR="00653C73" w:rsidRDefault="00653C73"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77BA3E" w14:textId="77777777" w:rsidR="00653C73" w:rsidRPr="00EA2C9F" w:rsidRDefault="00653C73" w:rsidP="00235B8B">
            <w:pPr>
              <w:spacing w:before="100"/>
              <w:rPr>
                <w:color w:val="000000"/>
                <w:sz w:val="20"/>
                <w:szCs w:val="20"/>
              </w:rPr>
            </w:pPr>
            <w:r w:rsidRPr="00EA2C9F">
              <w:rPr>
                <w:sz w:val="20"/>
                <w:szCs w:val="20"/>
              </w:rPr>
              <w:t>Отчети по проекта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309BC4" w14:textId="77777777" w:rsidR="00653C73" w:rsidRDefault="00653C73" w:rsidP="00235B8B">
            <w:pPr>
              <w:spacing w:before="100"/>
              <w:rPr>
                <w:color w:val="000000"/>
                <w:sz w:val="20"/>
              </w:rPr>
            </w:pPr>
          </w:p>
        </w:tc>
      </w:tr>
      <w:tr w:rsidR="00653C73" w14:paraId="3BAE8133"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749935" w14:textId="77777777" w:rsidR="00653C73" w:rsidRDefault="00653C73" w:rsidP="00235B8B">
            <w:pPr>
              <w:spacing w:before="100"/>
              <w:rPr>
                <w:color w:val="000000"/>
                <w:sz w:val="20"/>
              </w:rPr>
            </w:pPr>
            <w:r>
              <w:rPr>
                <w:color w:val="000000"/>
                <w:sz w:val="20"/>
              </w:rPr>
              <w:t>R.3.10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6778C" w14:textId="77777777" w:rsidR="00653C73" w:rsidRPr="00E839E1" w:rsidRDefault="00653C73" w:rsidP="00235B8B">
            <w:pPr>
              <w:spacing w:before="100"/>
              <w:rPr>
                <w:color w:val="000000"/>
                <w:sz w:val="20"/>
                <w:szCs w:val="20"/>
              </w:rPr>
            </w:pPr>
            <w:r w:rsidRPr="00E839E1">
              <w:rPr>
                <w:sz w:val="20"/>
                <w:szCs w:val="20"/>
              </w:rPr>
              <w:t>Брой разработени/разширени инициативи за защита/подкрепа на свидетели и подаващи сигнали за нередности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C501E9" w14:textId="77777777" w:rsidR="00653C73" w:rsidRDefault="00653C73" w:rsidP="00235B8B">
            <w:pPr>
              <w:spacing w:before="100"/>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E72F7F" w14:textId="77777777" w:rsidR="00653C73" w:rsidRDefault="00653C73" w:rsidP="00235B8B">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15EB89" w14:textId="77777777" w:rsidR="00653C73" w:rsidRDefault="00653C73"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F9BCCA" w14:textId="77777777" w:rsidR="00653C73" w:rsidRDefault="00653C73" w:rsidP="00235B8B">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CC58F1" w14:textId="77777777" w:rsidR="00653C73" w:rsidRDefault="00653C73" w:rsidP="00235B8B">
            <w:pPr>
              <w:spacing w:before="100"/>
              <w:jc w:val="center"/>
              <w:rPr>
                <w:color w:val="000000"/>
                <w:sz w:val="20"/>
              </w:rPr>
            </w:pPr>
            <w:r>
              <w:rPr>
                <w:color w:val="000000"/>
                <w:sz w:val="20"/>
              </w:rPr>
              <w:t>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7CDAF0" w14:textId="77777777" w:rsidR="00653C73" w:rsidRDefault="00653C73"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E7E44F" w14:textId="77777777" w:rsidR="00653C73" w:rsidRPr="00EA2C9F" w:rsidRDefault="00653C73" w:rsidP="00235B8B">
            <w:pPr>
              <w:spacing w:before="100"/>
              <w:rPr>
                <w:color w:val="000000"/>
                <w:sz w:val="20"/>
                <w:szCs w:val="20"/>
              </w:rPr>
            </w:pPr>
            <w:r w:rsidRPr="00EA2C9F">
              <w:rPr>
                <w:sz w:val="20"/>
                <w:szCs w:val="20"/>
              </w:rPr>
              <w:t>Отчети по проекта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2E6A3E" w14:textId="77777777" w:rsidR="00653C73" w:rsidRDefault="00653C73" w:rsidP="00235B8B">
            <w:pPr>
              <w:spacing w:before="100"/>
              <w:rPr>
                <w:color w:val="000000"/>
                <w:sz w:val="20"/>
              </w:rPr>
            </w:pPr>
          </w:p>
        </w:tc>
      </w:tr>
      <w:tr w:rsidR="00653C73" w14:paraId="3DE3A0D8"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9F4F9B" w14:textId="77777777" w:rsidR="00653C73" w:rsidRPr="009E16C5" w:rsidRDefault="00653C73" w:rsidP="00235B8B">
            <w:pPr>
              <w:spacing w:before="100"/>
              <w:rPr>
                <w:color w:val="000000"/>
                <w:sz w:val="20"/>
              </w:rPr>
            </w:pPr>
            <w:r w:rsidRPr="009E16C5">
              <w:rPr>
                <w:color w:val="000000"/>
                <w:sz w:val="20"/>
              </w:rPr>
              <w:t>R.3.11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DAB1F" w14:textId="77777777" w:rsidR="00653C73" w:rsidRPr="00E839E1" w:rsidRDefault="00653C73" w:rsidP="00235B8B">
            <w:pPr>
              <w:spacing w:before="100"/>
              <w:rPr>
                <w:color w:val="000000"/>
                <w:sz w:val="20"/>
                <w:szCs w:val="20"/>
              </w:rPr>
            </w:pPr>
            <w:r w:rsidRPr="00E839E1">
              <w:rPr>
                <w:sz w:val="20"/>
                <w:szCs w:val="20"/>
              </w:rPr>
              <w:t>Брой критични инфраструктури/обществени пространства с нови/приспособени съоръжения за защита от рискове, свързани със сигурността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5ABED9" w14:textId="77777777" w:rsidR="00653C73" w:rsidRPr="009E16C5" w:rsidRDefault="00653C73" w:rsidP="00235B8B">
            <w:pPr>
              <w:spacing w:before="100"/>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584499" w14:textId="77777777" w:rsidR="00653C73" w:rsidRPr="009E16C5" w:rsidRDefault="00653C73" w:rsidP="00235B8B">
            <w:pPr>
              <w:spacing w:before="100"/>
              <w:rPr>
                <w:color w:val="000000"/>
                <w:sz w:val="20"/>
              </w:rPr>
            </w:pPr>
            <w:r w:rsidRPr="009E16C5">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4CA382" w14:textId="77777777" w:rsidR="00653C73" w:rsidRPr="009E16C5" w:rsidRDefault="00653C73"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298ADD" w14:textId="77777777" w:rsidR="00653C73" w:rsidRPr="009E16C5" w:rsidRDefault="00653C73" w:rsidP="00235B8B">
            <w:pPr>
              <w:spacing w:before="100"/>
              <w:jc w:val="center"/>
              <w:rPr>
                <w:color w:val="000000"/>
                <w:sz w:val="20"/>
              </w:rPr>
            </w:pPr>
            <w:r w:rsidRPr="009E16C5">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C13BEB" w14:textId="77777777" w:rsidR="00653C73" w:rsidRPr="00C90F37" w:rsidRDefault="00653C73" w:rsidP="00235B8B">
            <w:pPr>
              <w:spacing w:before="100"/>
              <w:jc w:val="center"/>
              <w:rPr>
                <w:color w:val="000000"/>
                <w:sz w:val="20"/>
              </w:rPr>
            </w:pPr>
            <w:r>
              <w:rPr>
                <w:color w:val="000000"/>
                <w:sz w:val="20"/>
              </w:rPr>
              <w:t>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247520" w14:textId="77777777" w:rsidR="00653C73" w:rsidRPr="009E16C5" w:rsidRDefault="00653C73"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ADFC6E" w14:textId="77777777" w:rsidR="00653C73" w:rsidRPr="00EA2C9F" w:rsidRDefault="00653C73" w:rsidP="00235B8B">
            <w:pPr>
              <w:spacing w:before="100"/>
              <w:rPr>
                <w:color w:val="000000"/>
                <w:sz w:val="20"/>
                <w:szCs w:val="20"/>
              </w:rPr>
            </w:pPr>
            <w:r w:rsidRPr="00EA2C9F">
              <w:rPr>
                <w:sz w:val="20"/>
                <w:szCs w:val="20"/>
              </w:rPr>
              <w:t>Отчети по проекта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B9DD74" w14:textId="77777777" w:rsidR="00653C73" w:rsidRDefault="00653C73" w:rsidP="00235B8B">
            <w:pPr>
              <w:spacing w:before="100"/>
              <w:rPr>
                <w:color w:val="000000"/>
                <w:sz w:val="20"/>
              </w:rPr>
            </w:pPr>
            <w:r>
              <w:rPr>
                <w:color w:val="000000"/>
                <w:sz w:val="20"/>
              </w:rPr>
              <w:t xml:space="preserve">31 места с изградени системи за откриване на ядрени и радиологични материали </w:t>
            </w:r>
            <w:r w:rsidRPr="00B15302">
              <w:rPr>
                <w:color w:val="000000"/>
                <w:sz w:val="20"/>
              </w:rPr>
              <w:t xml:space="preserve"> </w:t>
            </w:r>
            <w:r>
              <w:rPr>
                <w:color w:val="000000"/>
                <w:sz w:val="20"/>
              </w:rPr>
              <w:t>–</w:t>
            </w:r>
            <w:r w:rsidRPr="00B15302">
              <w:rPr>
                <w:color w:val="000000"/>
                <w:sz w:val="20"/>
              </w:rPr>
              <w:t xml:space="preserve"> </w:t>
            </w:r>
            <w:r>
              <w:rPr>
                <w:color w:val="000000"/>
                <w:sz w:val="20"/>
              </w:rPr>
              <w:t>ГКПП</w:t>
            </w:r>
          </w:p>
          <w:p w14:paraId="10718EA6" w14:textId="77777777" w:rsidR="00653C73" w:rsidRDefault="00653C73" w:rsidP="00235B8B">
            <w:pPr>
              <w:spacing w:before="100"/>
              <w:rPr>
                <w:color w:val="000000"/>
                <w:sz w:val="20"/>
              </w:rPr>
            </w:pPr>
            <w:r>
              <w:rPr>
                <w:color w:val="000000"/>
                <w:sz w:val="20"/>
              </w:rPr>
              <w:t xml:space="preserve">1 изградена балистична сграда за боеприпаси и тактическо обучение; реконструирано стрелбище </w:t>
            </w:r>
          </w:p>
          <w:p w14:paraId="6F7A322B" w14:textId="77777777" w:rsidR="00653C73" w:rsidRPr="00082859" w:rsidRDefault="00653C73" w:rsidP="00235B8B">
            <w:pPr>
              <w:spacing w:before="100"/>
              <w:rPr>
                <w:color w:val="000000"/>
                <w:sz w:val="20"/>
              </w:rPr>
            </w:pPr>
            <w:r>
              <w:rPr>
                <w:color w:val="000000"/>
                <w:sz w:val="20"/>
              </w:rPr>
              <w:t>1 бр. нова система</w:t>
            </w:r>
          </w:p>
        </w:tc>
      </w:tr>
      <w:tr w:rsidR="00653C73" w14:paraId="234D8C1E"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9E56CF" w14:textId="77777777" w:rsidR="00653C73" w:rsidRPr="009E16C5" w:rsidRDefault="00653C73" w:rsidP="00235B8B">
            <w:pPr>
              <w:spacing w:before="100"/>
              <w:rPr>
                <w:color w:val="000000"/>
                <w:sz w:val="20"/>
              </w:rPr>
            </w:pPr>
            <w:r w:rsidRPr="009E16C5">
              <w:rPr>
                <w:color w:val="000000"/>
                <w:sz w:val="20"/>
              </w:rPr>
              <w:lastRenderedPageBreak/>
              <w:t>R.3.12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7522F5" w14:textId="77777777" w:rsidR="00653C73" w:rsidRPr="00E839E1" w:rsidRDefault="00653C73" w:rsidP="00235B8B">
            <w:pPr>
              <w:spacing w:before="100"/>
              <w:rPr>
                <w:color w:val="000000"/>
                <w:sz w:val="20"/>
                <w:szCs w:val="20"/>
              </w:rPr>
            </w:pPr>
            <w:r w:rsidRPr="00E839E1">
              <w:rPr>
                <w:sz w:val="20"/>
                <w:szCs w:val="20"/>
              </w:rPr>
              <w:t>Брой участници, които считат обучителната дейност за полезна за своята работа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CAF016" w14:textId="77777777" w:rsidR="00653C73" w:rsidRPr="009E16C5" w:rsidRDefault="00653C73" w:rsidP="00235B8B">
            <w:pPr>
              <w:spacing w:before="100"/>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696917" w14:textId="77777777" w:rsidR="00653C73" w:rsidRPr="009E16C5" w:rsidRDefault="00653C73" w:rsidP="00235B8B">
            <w:pPr>
              <w:spacing w:before="100"/>
              <w:rPr>
                <w:color w:val="000000"/>
                <w:sz w:val="20"/>
              </w:rPr>
            </w:pPr>
            <w:r w:rsidRPr="009E16C5">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F15CD0" w14:textId="77777777" w:rsidR="00653C73" w:rsidRPr="009E16C5" w:rsidRDefault="00653C73" w:rsidP="00235B8B">
            <w:pPr>
              <w:spacing w:before="100"/>
              <w:jc w:val="right"/>
              <w:rPr>
                <w:color w:val="000000"/>
                <w:sz w:val="20"/>
              </w:rPr>
            </w:pPr>
            <w:r>
              <w:rPr>
                <w:color w:val="000000"/>
                <w:sz w:val="20"/>
              </w:rPr>
              <w:t>дял</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828004" w14:textId="77777777" w:rsidR="00653C73" w:rsidRPr="009E16C5" w:rsidRDefault="00653C73" w:rsidP="00235B8B">
            <w:pPr>
              <w:spacing w:before="100"/>
              <w:jc w:val="center"/>
              <w:rPr>
                <w:color w:val="000000"/>
                <w:sz w:val="20"/>
              </w:rPr>
            </w:pPr>
            <w:r w:rsidRPr="009E16C5">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75D4DE" w14:textId="77777777" w:rsidR="00653C73" w:rsidRPr="00605CA3" w:rsidRDefault="00653C73" w:rsidP="00235B8B">
            <w:pPr>
              <w:spacing w:before="100"/>
              <w:jc w:val="center"/>
              <w:rPr>
                <w:color w:val="000000"/>
                <w:sz w:val="20"/>
              </w:rPr>
            </w:pPr>
            <w:r>
              <w:rPr>
                <w:color w:val="000000"/>
                <w:sz w:val="20"/>
              </w:rPr>
              <w:t>5826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744A6D" w14:textId="77777777" w:rsidR="00653C73" w:rsidRPr="009E16C5" w:rsidRDefault="00653C73"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580227" w14:textId="77777777" w:rsidR="00653C73" w:rsidRPr="00EA2C9F" w:rsidRDefault="00653C73" w:rsidP="00235B8B">
            <w:pPr>
              <w:spacing w:before="100"/>
              <w:rPr>
                <w:color w:val="000000"/>
                <w:sz w:val="20"/>
                <w:szCs w:val="20"/>
              </w:rPr>
            </w:pPr>
            <w:r w:rsidRPr="00EA2C9F">
              <w:rPr>
                <w:sz w:val="20"/>
                <w:szCs w:val="20"/>
              </w:rPr>
              <w:t>Отчети по проекта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5761BE" w14:textId="77777777" w:rsidR="00653C73" w:rsidRPr="00B60A0C" w:rsidRDefault="00653C73" w:rsidP="00235B8B">
            <w:pPr>
              <w:spacing w:before="100"/>
              <w:rPr>
                <w:color w:val="000000"/>
                <w:sz w:val="20"/>
                <w:highlight w:val="green"/>
              </w:rPr>
            </w:pPr>
          </w:p>
        </w:tc>
      </w:tr>
      <w:tr w:rsidR="00653C73" w14:paraId="68FCEBF6" w14:textId="77777777" w:rsidTr="00235B8B">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05296C" w14:textId="77777777" w:rsidR="00653C73" w:rsidRPr="009E16C5" w:rsidRDefault="00653C73" w:rsidP="00235B8B">
            <w:pPr>
              <w:spacing w:before="100"/>
              <w:rPr>
                <w:color w:val="000000"/>
                <w:sz w:val="20"/>
              </w:rPr>
            </w:pPr>
            <w:r w:rsidRPr="009E16C5">
              <w:rPr>
                <w:color w:val="000000"/>
                <w:sz w:val="20"/>
              </w:rPr>
              <w:t>R.3.13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12FBDC" w14:textId="77777777" w:rsidR="00653C73" w:rsidRPr="00E839E1" w:rsidRDefault="00653C73" w:rsidP="00235B8B">
            <w:pPr>
              <w:spacing w:before="100"/>
              <w:rPr>
                <w:color w:val="000000"/>
                <w:sz w:val="20"/>
                <w:szCs w:val="20"/>
              </w:rPr>
            </w:pPr>
            <w:r w:rsidRPr="00E839E1">
              <w:rPr>
                <w:sz w:val="20"/>
                <w:szCs w:val="20"/>
              </w:rPr>
              <w:t>Брой участници, които докладват три месеца след обучителната дейност, че използват уменията и компетентностите, придобити по време на обучителната дейност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5508DA" w14:textId="77777777" w:rsidR="00653C73" w:rsidRPr="009E16C5" w:rsidRDefault="00653C73" w:rsidP="00235B8B">
            <w:pPr>
              <w:spacing w:before="100"/>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417C9E" w14:textId="77777777" w:rsidR="00653C73" w:rsidRPr="009E16C5" w:rsidRDefault="00653C73" w:rsidP="00235B8B">
            <w:pPr>
              <w:spacing w:before="100"/>
              <w:rPr>
                <w:color w:val="000000"/>
                <w:sz w:val="20"/>
              </w:rPr>
            </w:pPr>
            <w:r w:rsidRPr="009E16C5">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56A90B" w14:textId="77777777" w:rsidR="00653C73" w:rsidRPr="009E16C5" w:rsidRDefault="00653C73" w:rsidP="00235B8B">
            <w:pPr>
              <w:spacing w:before="100"/>
              <w:jc w:val="right"/>
              <w:rPr>
                <w:color w:val="000000"/>
                <w:sz w:val="20"/>
              </w:rPr>
            </w:pPr>
            <w:r>
              <w:rPr>
                <w:color w:val="000000"/>
                <w:sz w:val="20"/>
              </w:rPr>
              <w:t>дял</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9FD759" w14:textId="77777777" w:rsidR="00653C73" w:rsidRPr="009E16C5" w:rsidRDefault="00653C73" w:rsidP="00235B8B">
            <w:pPr>
              <w:spacing w:before="100"/>
              <w:jc w:val="center"/>
              <w:rPr>
                <w:color w:val="000000"/>
                <w:sz w:val="20"/>
              </w:rPr>
            </w:pPr>
            <w:r w:rsidRPr="009E16C5">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154EB1" w14:textId="77777777" w:rsidR="00653C73" w:rsidRPr="00B60A0C" w:rsidRDefault="00653C73" w:rsidP="00235B8B">
            <w:pPr>
              <w:spacing w:before="100"/>
              <w:jc w:val="center"/>
              <w:rPr>
                <w:color w:val="000000"/>
                <w:sz w:val="20"/>
              </w:rPr>
            </w:pPr>
            <w:r>
              <w:rPr>
                <w:color w:val="000000"/>
                <w:sz w:val="20"/>
              </w:rPr>
              <w:t>5664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78C294" w14:textId="77777777" w:rsidR="00653C73" w:rsidRPr="009E16C5" w:rsidRDefault="00653C73" w:rsidP="00235B8B">
            <w:pPr>
              <w:spacing w:before="100"/>
              <w:jc w:val="right"/>
              <w:rPr>
                <w:color w:val="000000"/>
                <w:sz w:val="20"/>
              </w:rPr>
            </w:pPr>
            <w:r>
              <w:rPr>
                <w:color w:val="000000"/>
                <w:sz w:val="20"/>
              </w:rPr>
              <w:t>брой</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CD7F49" w14:textId="77777777" w:rsidR="00653C73" w:rsidRPr="00EA2C9F" w:rsidRDefault="00653C73" w:rsidP="00235B8B">
            <w:pPr>
              <w:spacing w:before="100"/>
              <w:rPr>
                <w:color w:val="000000"/>
                <w:sz w:val="20"/>
                <w:szCs w:val="20"/>
              </w:rPr>
            </w:pPr>
            <w:r w:rsidRPr="00EA2C9F">
              <w:rPr>
                <w:sz w:val="20"/>
                <w:szCs w:val="20"/>
              </w:rPr>
              <w:t>Отчети по проекта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98CCFE" w14:textId="77777777" w:rsidR="00653C73" w:rsidRPr="00B60A0C" w:rsidRDefault="00653C73" w:rsidP="00235B8B">
            <w:pPr>
              <w:spacing w:before="100"/>
              <w:rPr>
                <w:color w:val="000000"/>
                <w:sz w:val="20"/>
                <w:highlight w:val="green"/>
              </w:rPr>
            </w:pPr>
          </w:p>
        </w:tc>
      </w:tr>
    </w:tbl>
    <w:p w14:paraId="49F52557" w14:textId="77777777" w:rsidR="00A77B3E" w:rsidRDefault="00A77B3E">
      <w:pPr>
        <w:spacing w:before="100"/>
        <w:rPr>
          <w:color w:val="000000"/>
          <w:sz w:val="0"/>
        </w:rPr>
      </w:pPr>
    </w:p>
    <w:p w14:paraId="46992075" w14:textId="77777777" w:rsidR="00A77B3E" w:rsidRDefault="00A77B3E">
      <w:pPr>
        <w:spacing w:before="100"/>
        <w:rPr>
          <w:color w:val="000000"/>
          <w:sz w:val="20"/>
        </w:rPr>
        <w:sectPr w:rsidR="00A77B3E">
          <w:headerReference w:type="even" r:id="rId47"/>
          <w:headerReference w:type="default" r:id="rId48"/>
          <w:footerReference w:type="even" r:id="rId49"/>
          <w:footerReference w:type="default" r:id="rId50"/>
          <w:headerReference w:type="first" r:id="rId51"/>
          <w:footerReference w:type="first" r:id="rId52"/>
          <w:pgSz w:w="16838" w:h="11906" w:orient="landscape"/>
          <w:pgMar w:top="720" w:right="720" w:bottom="864" w:left="936" w:header="288" w:footer="72" w:gutter="0"/>
          <w:cols w:space="720"/>
          <w:noEndnote/>
          <w:docGrid w:linePitch="360"/>
        </w:sectPr>
      </w:pPr>
    </w:p>
    <w:p w14:paraId="7B7F0EA1" w14:textId="77777777" w:rsidR="00A77B3E" w:rsidRDefault="00E62050">
      <w:pPr>
        <w:spacing w:before="100"/>
        <w:rPr>
          <w:color w:val="000000"/>
          <w:sz w:val="0"/>
        </w:rPr>
      </w:pPr>
      <w:r>
        <w:rPr>
          <w:color w:val="000000"/>
        </w:rPr>
        <w:lastRenderedPageBreak/>
        <w:t xml:space="preserve">2.1. </w:t>
      </w:r>
      <w:r w:rsidR="00653C73" w:rsidRPr="00653C73">
        <w:rPr>
          <w:color w:val="000000"/>
        </w:rPr>
        <w:t>Специфична цел 3: Предотвратяване и борба с престъпността</w:t>
      </w:r>
    </w:p>
    <w:p w14:paraId="5461266E" w14:textId="2787E74F" w:rsidR="00A77B3E" w:rsidRDefault="00E62050">
      <w:pPr>
        <w:pStyle w:val="Heading3"/>
        <w:spacing w:before="100" w:after="0"/>
        <w:rPr>
          <w:rFonts w:ascii="Times New Roman" w:hAnsi="Times New Roman" w:cs="Times New Roman"/>
          <w:b w:val="0"/>
          <w:color w:val="000000"/>
          <w:sz w:val="24"/>
        </w:rPr>
      </w:pPr>
      <w:bookmarkStart w:id="23" w:name="_Toc129599295"/>
      <w:r>
        <w:rPr>
          <w:rFonts w:ascii="Times New Roman" w:hAnsi="Times New Roman" w:cs="Times New Roman"/>
          <w:b w:val="0"/>
          <w:color w:val="000000"/>
          <w:sz w:val="24"/>
        </w:rPr>
        <w:t>2.1.3.</w:t>
      </w:r>
      <w:r w:rsidR="00653C73" w:rsidRPr="00653C73">
        <w:rPr>
          <w:rFonts w:ascii="Times New Roman" w:hAnsi="Times New Roman" w:cs="Times New Roman"/>
          <w:b w:val="0"/>
          <w:color w:val="000000"/>
          <w:sz w:val="24"/>
        </w:rPr>
        <w:tab/>
        <w:t>Индикативна разбивка на ресурсите по програмата (ЕС) по вид интервенция</w:t>
      </w:r>
      <w:bookmarkEnd w:id="23"/>
    </w:p>
    <w:p w14:paraId="2E0C3230" w14:textId="77777777" w:rsidR="00653C73" w:rsidRDefault="00653C73">
      <w:pPr>
        <w:spacing w:before="100"/>
        <w:rPr>
          <w:color w:val="000000"/>
        </w:rPr>
      </w:pPr>
      <w:r w:rsidRPr="00653C73">
        <w:rPr>
          <w:color w:val="000000"/>
        </w:rPr>
        <w:t>Основание: член 22, параграф 5 от РОР и член 16, параграф 12 от Регламента за ФУМИ, член 13, параграф 12 от Регламента за ФВС или член 13, параграф 18 от Регламента за ИУГВП</w:t>
      </w:r>
    </w:p>
    <w:p w14:paraId="24EE2851" w14:textId="77777777" w:rsidR="00A77B3E" w:rsidRDefault="00653C73">
      <w:pPr>
        <w:pStyle w:val="Heading4"/>
        <w:spacing w:before="100" w:after="0"/>
        <w:rPr>
          <w:b w:val="0"/>
          <w:color w:val="000000"/>
          <w:sz w:val="24"/>
        </w:rPr>
      </w:pPr>
      <w:bookmarkStart w:id="24" w:name="_Toc129599296"/>
      <w:r w:rsidRPr="00653C73">
        <w:rPr>
          <w:b w:val="0"/>
          <w:color w:val="000000"/>
          <w:sz w:val="24"/>
        </w:rPr>
        <w:t>Таблица 3: Индикативна разбивка</w:t>
      </w:r>
      <w:bookmarkEnd w:id="24"/>
    </w:p>
    <w:p w14:paraId="5F8D6CD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1260"/>
        <w:gridCol w:w="2339"/>
      </w:tblGrid>
      <w:tr w:rsidR="00653C73" w14:paraId="4D2A34EC" w14:textId="77777777" w:rsidTr="00235B8B">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953D89" w14:textId="77777777" w:rsidR="00653C73" w:rsidRDefault="00653C73" w:rsidP="00235B8B">
            <w:pPr>
              <w:spacing w:before="100"/>
              <w:rPr>
                <w:color w:val="000000"/>
                <w:sz w:val="20"/>
              </w:rPr>
            </w:pPr>
            <w:r w:rsidRPr="009B0331">
              <w:rPr>
                <w:color w:val="000000"/>
                <w:sz w:val="20"/>
              </w:rPr>
              <w:t>Вид интервенция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668AE9" w14:textId="77777777" w:rsidR="00653C73" w:rsidRDefault="00653C73" w:rsidP="00235B8B">
            <w:pPr>
              <w:spacing w:before="100"/>
              <w:rPr>
                <w:color w:val="000000"/>
                <w:sz w:val="20"/>
              </w:rPr>
            </w:pPr>
            <w:r>
              <w:rPr>
                <w:color w:val="000000"/>
                <w:sz w:val="20"/>
              </w:rPr>
              <w:t>Код</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EBD3D4" w14:textId="77777777" w:rsidR="00653C73" w:rsidRDefault="00653C73" w:rsidP="00235B8B">
            <w:pPr>
              <w:spacing w:before="100"/>
              <w:jc w:val="right"/>
              <w:rPr>
                <w:color w:val="000000"/>
                <w:sz w:val="20"/>
              </w:rPr>
            </w:pPr>
            <w:r w:rsidRPr="009B0331">
              <w:rPr>
                <w:color w:val="000000"/>
                <w:sz w:val="20"/>
              </w:rPr>
              <w:t>Индикативна сума (в евро)</w:t>
            </w:r>
          </w:p>
        </w:tc>
      </w:tr>
      <w:tr w:rsidR="00653C73" w14:paraId="78D45218"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3D1175" w14:textId="77777777" w:rsidR="00653C73" w:rsidRDefault="00653C73"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D39989" w14:textId="77777777" w:rsidR="00653C73" w:rsidRDefault="00653C73" w:rsidP="00235B8B">
            <w:pPr>
              <w:spacing w:before="100"/>
              <w:rPr>
                <w:color w:val="000000"/>
                <w:sz w:val="20"/>
              </w:rPr>
            </w:pPr>
            <w:r>
              <w:rPr>
                <w:color w:val="000000"/>
                <w:sz w:val="20"/>
              </w:rPr>
              <w:t>001.</w:t>
            </w:r>
            <w:r>
              <w:t xml:space="preserve"> </w:t>
            </w:r>
            <w:r w:rsidRPr="00C4274F">
              <w:rPr>
                <w:color w:val="000000"/>
                <w:sz w:val="20"/>
              </w:rPr>
              <w:t>Системи на ИКТ, оперативна съвместимост, качество на данните (без оборудване)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B5E30D" w14:textId="006D97D0" w:rsidR="00653C73" w:rsidRDefault="00524AD0" w:rsidP="00235B8B">
            <w:pPr>
              <w:spacing w:before="100"/>
              <w:jc w:val="right"/>
              <w:rPr>
                <w:color w:val="000000"/>
                <w:sz w:val="20"/>
              </w:rPr>
            </w:pPr>
            <w:r>
              <w:rPr>
                <w:color w:val="000000"/>
                <w:sz w:val="20"/>
                <w:lang w:val="bg-BG"/>
              </w:rPr>
              <w:t>5 716 811,91</w:t>
            </w:r>
          </w:p>
        </w:tc>
      </w:tr>
      <w:tr w:rsidR="00653C73" w14:paraId="6CB19CD8"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5E63E6" w14:textId="77777777" w:rsidR="00653C73" w:rsidRDefault="00653C73"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2B27BA" w14:textId="77777777" w:rsidR="00653C73" w:rsidRDefault="00653C73" w:rsidP="00235B8B">
            <w:pPr>
              <w:spacing w:before="100"/>
              <w:rPr>
                <w:color w:val="000000"/>
                <w:sz w:val="20"/>
              </w:rPr>
            </w:pPr>
            <w:r>
              <w:rPr>
                <w:color w:val="000000"/>
                <w:sz w:val="20"/>
              </w:rPr>
              <w:t>002.</w:t>
            </w:r>
            <w:r>
              <w:t xml:space="preserve"> </w:t>
            </w:r>
            <w:r w:rsidRPr="00C4274F">
              <w:rPr>
                <w:color w:val="000000"/>
                <w:sz w:val="20"/>
              </w:rPr>
              <w:t>Мрежи, центрове за високи постижения, структури за сътрудничество, съвместни действия и операции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9FD4BF" w14:textId="77777777" w:rsidR="00653C73" w:rsidRDefault="00653C73" w:rsidP="00235B8B">
            <w:pPr>
              <w:spacing w:before="100"/>
              <w:jc w:val="right"/>
              <w:rPr>
                <w:color w:val="000000"/>
                <w:sz w:val="20"/>
              </w:rPr>
            </w:pPr>
            <w:r>
              <w:rPr>
                <w:color w:val="000000"/>
                <w:sz w:val="20"/>
              </w:rPr>
              <w:t>0,00</w:t>
            </w:r>
          </w:p>
        </w:tc>
      </w:tr>
      <w:tr w:rsidR="00653C73" w14:paraId="599680BA"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DAF53D" w14:textId="77777777" w:rsidR="00653C73" w:rsidRDefault="00653C73"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F1F39" w14:textId="77777777" w:rsidR="00653C73" w:rsidRDefault="00653C73" w:rsidP="00235B8B">
            <w:pPr>
              <w:spacing w:before="100"/>
              <w:rPr>
                <w:color w:val="000000"/>
                <w:sz w:val="20"/>
              </w:rPr>
            </w:pPr>
            <w:r>
              <w:rPr>
                <w:color w:val="000000"/>
                <w:sz w:val="20"/>
              </w:rPr>
              <w:t>003.</w:t>
            </w:r>
            <w:r>
              <w:t xml:space="preserve"> </w:t>
            </w:r>
            <w:r w:rsidRPr="00C4274F">
              <w:rPr>
                <w:color w:val="000000"/>
                <w:sz w:val="20"/>
              </w:rPr>
              <w:t>Съвместни екипи за разследване (СЕР) или други съвместни операции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5D7D22" w14:textId="77777777" w:rsidR="00653C73" w:rsidRDefault="00653C73" w:rsidP="00235B8B">
            <w:pPr>
              <w:spacing w:before="100"/>
              <w:jc w:val="right"/>
              <w:rPr>
                <w:color w:val="000000"/>
                <w:sz w:val="20"/>
              </w:rPr>
            </w:pPr>
            <w:r>
              <w:rPr>
                <w:color w:val="000000"/>
                <w:sz w:val="20"/>
              </w:rPr>
              <w:t>0,00</w:t>
            </w:r>
          </w:p>
        </w:tc>
      </w:tr>
      <w:tr w:rsidR="00653C73" w14:paraId="5230B462"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D557AD" w14:textId="77777777" w:rsidR="00653C73" w:rsidRDefault="00653C73"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918E91" w14:textId="77777777" w:rsidR="00653C73" w:rsidRDefault="00653C73" w:rsidP="00235B8B">
            <w:pPr>
              <w:spacing w:before="100"/>
              <w:rPr>
                <w:color w:val="000000"/>
                <w:sz w:val="20"/>
              </w:rPr>
            </w:pPr>
            <w:r>
              <w:rPr>
                <w:color w:val="000000"/>
                <w:sz w:val="20"/>
              </w:rPr>
              <w:t xml:space="preserve">004. </w:t>
            </w:r>
            <w:r w:rsidRPr="00C4274F">
              <w:rPr>
                <w:color w:val="000000"/>
                <w:sz w:val="20"/>
              </w:rPr>
              <w:t>Командироване или изпращане на експерти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17414A" w14:textId="0765B971" w:rsidR="00653C73" w:rsidRPr="00894EB3" w:rsidRDefault="00524AD0" w:rsidP="00235B8B">
            <w:pPr>
              <w:spacing w:before="100"/>
              <w:jc w:val="right"/>
              <w:rPr>
                <w:color w:val="000000"/>
                <w:sz w:val="20"/>
                <w:lang w:val="bg-BG"/>
              </w:rPr>
            </w:pPr>
            <w:r>
              <w:rPr>
                <w:color w:val="000000"/>
                <w:sz w:val="20"/>
                <w:lang w:val="bg-BG"/>
              </w:rPr>
              <w:t>20 517, 09</w:t>
            </w:r>
          </w:p>
        </w:tc>
      </w:tr>
      <w:tr w:rsidR="00653C73" w14:paraId="0E1BDC57"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850139" w14:textId="77777777" w:rsidR="00653C73" w:rsidRPr="009E16C5" w:rsidRDefault="00653C73"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8CB794" w14:textId="77777777" w:rsidR="00653C73" w:rsidRPr="009E16C5" w:rsidRDefault="00653C73" w:rsidP="00235B8B">
            <w:pPr>
              <w:spacing w:before="100"/>
              <w:rPr>
                <w:color w:val="000000"/>
                <w:sz w:val="20"/>
              </w:rPr>
            </w:pPr>
            <w:r w:rsidRPr="009E16C5">
              <w:rPr>
                <w:color w:val="000000"/>
                <w:sz w:val="20"/>
              </w:rPr>
              <w:t>005.</w:t>
            </w:r>
            <w:r>
              <w:t xml:space="preserve"> </w:t>
            </w:r>
            <w:r w:rsidRPr="00C4274F">
              <w:rPr>
                <w:color w:val="000000"/>
                <w:sz w:val="20"/>
              </w:rPr>
              <w:t>Обучение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6B9ABB" w14:textId="6487E457" w:rsidR="00653C73" w:rsidRPr="00894EB3" w:rsidRDefault="00653C73" w:rsidP="00524AD0">
            <w:pPr>
              <w:spacing w:before="100"/>
              <w:jc w:val="right"/>
              <w:rPr>
                <w:color w:val="000000"/>
                <w:sz w:val="20"/>
                <w:lang w:val="bg-BG"/>
              </w:rPr>
            </w:pPr>
            <w:r w:rsidRPr="00810B37">
              <w:rPr>
                <w:color w:val="000000"/>
                <w:sz w:val="20"/>
              </w:rPr>
              <w:t xml:space="preserve">2 </w:t>
            </w:r>
            <w:r w:rsidR="00524AD0">
              <w:rPr>
                <w:color w:val="000000"/>
                <w:sz w:val="20"/>
                <w:lang w:val="bg-BG"/>
              </w:rPr>
              <w:t>258 462,10</w:t>
            </w:r>
          </w:p>
        </w:tc>
      </w:tr>
      <w:tr w:rsidR="00653C73" w14:paraId="28C7DA60"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E0B85D" w14:textId="77777777" w:rsidR="00653C73" w:rsidRDefault="00653C73"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0DC1EC" w14:textId="77777777" w:rsidR="00653C73" w:rsidRDefault="00653C73" w:rsidP="00235B8B">
            <w:pPr>
              <w:spacing w:before="100"/>
              <w:rPr>
                <w:color w:val="000000"/>
                <w:sz w:val="20"/>
              </w:rPr>
            </w:pPr>
            <w:r>
              <w:rPr>
                <w:color w:val="000000"/>
                <w:sz w:val="20"/>
              </w:rPr>
              <w:t xml:space="preserve">006. </w:t>
            </w:r>
            <w:r w:rsidRPr="00C4274F">
              <w:rPr>
                <w:color w:val="000000"/>
                <w:sz w:val="20"/>
              </w:rPr>
              <w:t>Обмен на добри практики, семинари, конференции, събития, кампании за повишаване на осведомеността, комуникационни дейности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D5310E" w14:textId="4C4FBD1A" w:rsidR="00653C73" w:rsidRDefault="00524AD0" w:rsidP="00235B8B">
            <w:pPr>
              <w:spacing w:before="100"/>
              <w:jc w:val="right"/>
              <w:rPr>
                <w:color w:val="000000"/>
                <w:sz w:val="20"/>
              </w:rPr>
            </w:pPr>
            <w:r>
              <w:rPr>
                <w:color w:val="000000"/>
                <w:sz w:val="20"/>
                <w:lang w:val="bg-BG"/>
              </w:rPr>
              <w:t>3 354 868, 70</w:t>
            </w:r>
          </w:p>
        </w:tc>
      </w:tr>
      <w:tr w:rsidR="00653C73" w14:paraId="19895372"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116B1F" w14:textId="77777777" w:rsidR="00653C73" w:rsidRDefault="00653C73"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473A5C" w14:textId="77777777" w:rsidR="00653C73" w:rsidRDefault="00653C73" w:rsidP="00235B8B">
            <w:pPr>
              <w:spacing w:before="100"/>
              <w:rPr>
                <w:color w:val="000000"/>
                <w:sz w:val="20"/>
              </w:rPr>
            </w:pPr>
            <w:r>
              <w:rPr>
                <w:color w:val="000000"/>
                <w:sz w:val="20"/>
              </w:rPr>
              <w:t>007.</w:t>
            </w:r>
            <w:r>
              <w:t xml:space="preserve"> </w:t>
            </w:r>
            <w:r w:rsidRPr="00C4274F">
              <w:rPr>
                <w:color w:val="000000"/>
                <w:sz w:val="20"/>
              </w:rPr>
              <w:t>Изследвания, пилотни проекти, оценки на риска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96BACF" w14:textId="2A16685C" w:rsidR="00653C73" w:rsidRPr="00894EB3" w:rsidRDefault="00524AD0" w:rsidP="00235B8B">
            <w:pPr>
              <w:spacing w:before="100"/>
              <w:jc w:val="right"/>
              <w:rPr>
                <w:color w:val="000000"/>
                <w:sz w:val="20"/>
                <w:lang w:val="bg-BG"/>
              </w:rPr>
            </w:pPr>
            <w:r>
              <w:rPr>
                <w:color w:val="000000"/>
                <w:sz w:val="20"/>
                <w:lang w:val="bg-BG"/>
              </w:rPr>
              <w:t>246 812, 48</w:t>
            </w:r>
          </w:p>
        </w:tc>
      </w:tr>
      <w:tr w:rsidR="00653C73" w14:paraId="22184F1C"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52F163" w14:textId="77777777" w:rsidR="00653C73" w:rsidRDefault="00653C73"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034CEA" w14:textId="77777777" w:rsidR="00653C73" w:rsidRDefault="00653C73" w:rsidP="00235B8B">
            <w:pPr>
              <w:spacing w:before="100"/>
              <w:rPr>
                <w:color w:val="000000"/>
                <w:sz w:val="20"/>
              </w:rPr>
            </w:pPr>
            <w:r>
              <w:rPr>
                <w:color w:val="000000"/>
                <w:sz w:val="20"/>
              </w:rPr>
              <w:t xml:space="preserve">008. </w:t>
            </w:r>
            <w:r w:rsidRPr="00C4274F">
              <w:rPr>
                <w:color w:val="000000"/>
                <w:sz w:val="20"/>
              </w:rPr>
              <w:t>Оборудване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AA80B4" w14:textId="38AE6A10" w:rsidR="00653C73" w:rsidRPr="00894EB3" w:rsidRDefault="00524AD0" w:rsidP="00235B8B">
            <w:pPr>
              <w:spacing w:before="100"/>
              <w:jc w:val="right"/>
              <w:rPr>
                <w:color w:val="000000"/>
                <w:sz w:val="20"/>
                <w:lang w:val="bg-BG"/>
              </w:rPr>
            </w:pPr>
            <w:r>
              <w:rPr>
                <w:color w:val="000000"/>
                <w:sz w:val="20"/>
                <w:lang w:val="bg-BG"/>
              </w:rPr>
              <w:t>2 706 921, 34</w:t>
            </w:r>
          </w:p>
        </w:tc>
      </w:tr>
      <w:tr w:rsidR="00653C73" w14:paraId="5FFEB992"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9FB739" w14:textId="77777777" w:rsidR="00653C73" w:rsidRDefault="00653C73"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44B537" w14:textId="77777777" w:rsidR="00653C73" w:rsidRDefault="00653C73" w:rsidP="00235B8B">
            <w:pPr>
              <w:spacing w:before="100"/>
              <w:rPr>
                <w:color w:val="000000"/>
                <w:sz w:val="20"/>
              </w:rPr>
            </w:pPr>
            <w:r>
              <w:rPr>
                <w:color w:val="000000"/>
                <w:sz w:val="20"/>
              </w:rPr>
              <w:t>009.</w:t>
            </w:r>
            <w:r>
              <w:t xml:space="preserve"> </w:t>
            </w:r>
            <w:r w:rsidRPr="00C4274F">
              <w:rPr>
                <w:color w:val="000000"/>
                <w:sz w:val="20"/>
              </w:rPr>
              <w:t>Транспортни средства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E8B89A" w14:textId="0D8D9D3B" w:rsidR="00653C73" w:rsidRDefault="00524AD0" w:rsidP="00235B8B">
            <w:pPr>
              <w:spacing w:before="100"/>
              <w:jc w:val="right"/>
              <w:rPr>
                <w:color w:val="000000"/>
                <w:sz w:val="20"/>
              </w:rPr>
            </w:pPr>
            <w:r>
              <w:rPr>
                <w:color w:val="000000"/>
                <w:sz w:val="20"/>
                <w:lang w:val="bg-BG"/>
              </w:rPr>
              <w:t>495</w:t>
            </w:r>
            <w:r>
              <w:rPr>
                <w:color w:val="000000"/>
                <w:sz w:val="20"/>
              </w:rPr>
              <w:t xml:space="preserve"> </w:t>
            </w:r>
            <w:r w:rsidR="00653C73" w:rsidRPr="009E16C5">
              <w:rPr>
                <w:color w:val="000000"/>
                <w:sz w:val="20"/>
              </w:rPr>
              <w:t>000.00</w:t>
            </w:r>
          </w:p>
        </w:tc>
      </w:tr>
      <w:tr w:rsidR="00653C73" w14:paraId="3E1E85A6"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21F6C5" w14:textId="77777777" w:rsidR="00653C73" w:rsidRDefault="00653C73"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04D084" w14:textId="77777777" w:rsidR="00653C73" w:rsidRDefault="00653C73" w:rsidP="00235B8B">
            <w:pPr>
              <w:spacing w:before="100"/>
              <w:rPr>
                <w:color w:val="000000"/>
                <w:sz w:val="20"/>
              </w:rPr>
            </w:pPr>
            <w:r>
              <w:rPr>
                <w:color w:val="000000"/>
                <w:sz w:val="20"/>
              </w:rPr>
              <w:t>010.</w:t>
            </w:r>
            <w:r>
              <w:t xml:space="preserve"> </w:t>
            </w:r>
            <w:r w:rsidRPr="00C4274F">
              <w:rPr>
                <w:color w:val="000000"/>
                <w:sz w:val="20"/>
              </w:rPr>
              <w:t>Сгради, съоръжения</w:t>
            </w:r>
            <w: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C00F7A" w14:textId="51C04787" w:rsidR="00653C73" w:rsidRPr="00894EB3" w:rsidRDefault="00653C73" w:rsidP="00524AD0">
            <w:pPr>
              <w:spacing w:before="100"/>
              <w:jc w:val="right"/>
              <w:rPr>
                <w:color w:val="000000"/>
                <w:sz w:val="20"/>
                <w:lang w:val="bg-BG"/>
              </w:rPr>
            </w:pPr>
            <w:r w:rsidRPr="009E16C5">
              <w:rPr>
                <w:color w:val="000000"/>
                <w:sz w:val="20"/>
              </w:rPr>
              <w:t>4</w:t>
            </w:r>
            <w:r>
              <w:rPr>
                <w:color w:val="000000"/>
                <w:sz w:val="20"/>
              </w:rPr>
              <w:t xml:space="preserve"> </w:t>
            </w:r>
            <w:r w:rsidR="00524AD0">
              <w:rPr>
                <w:color w:val="000000"/>
                <w:sz w:val="20"/>
                <w:lang w:val="bg-BG"/>
              </w:rPr>
              <w:t>953 788, 24</w:t>
            </w:r>
          </w:p>
        </w:tc>
      </w:tr>
      <w:tr w:rsidR="00653C73" w14:paraId="5AE16EC9" w14:textId="77777777" w:rsidTr="00235B8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FA1256" w14:textId="77777777" w:rsidR="00653C73" w:rsidRPr="00A177BA" w:rsidRDefault="00653C73" w:rsidP="00235B8B">
            <w:pPr>
              <w:spacing w:before="100"/>
              <w:rPr>
                <w:color w:val="000000"/>
                <w:sz w:val="20"/>
              </w:rPr>
            </w:pPr>
            <w:r>
              <w:rPr>
                <w:color w:val="000000"/>
                <w:sz w:val="20"/>
              </w:rPr>
              <w:t>Вид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9E4FB3" w14:textId="77777777" w:rsidR="00653C73" w:rsidRDefault="00653C73" w:rsidP="00235B8B">
            <w:pPr>
              <w:spacing w:before="100"/>
              <w:rPr>
                <w:color w:val="000000"/>
                <w:sz w:val="20"/>
              </w:rPr>
            </w:pPr>
            <w:r>
              <w:rPr>
                <w:color w:val="000000"/>
                <w:sz w:val="20"/>
              </w:rPr>
              <w:t>0.11.</w:t>
            </w:r>
            <w:r>
              <w:t xml:space="preserve"> </w:t>
            </w:r>
            <w:r>
              <w:rPr>
                <w:color w:val="000000"/>
                <w:sz w:val="20"/>
              </w:rPr>
              <w:t>Внед</w:t>
            </w:r>
            <w:r w:rsidRPr="00C4274F">
              <w:rPr>
                <w:color w:val="000000"/>
                <w:sz w:val="20"/>
              </w:rPr>
              <w:t>ряване или друга форма на последващи действия в резултат на научни проекти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64536E" w14:textId="77777777" w:rsidR="00653C73" w:rsidRDefault="00653C73" w:rsidP="00235B8B">
            <w:pPr>
              <w:spacing w:before="100"/>
              <w:jc w:val="right"/>
              <w:rPr>
                <w:color w:val="000000"/>
                <w:sz w:val="20"/>
              </w:rPr>
            </w:pPr>
            <w:r>
              <w:rPr>
                <w:color w:val="000000"/>
                <w:sz w:val="20"/>
              </w:rPr>
              <w:t>0,00</w:t>
            </w:r>
          </w:p>
        </w:tc>
      </w:tr>
    </w:tbl>
    <w:p w14:paraId="15640E55" w14:textId="77777777" w:rsidR="00653C73" w:rsidRDefault="00653C73">
      <w:pPr>
        <w:spacing w:before="100"/>
        <w:rPr>
          <w:color w:val="000000"/>
          <w:sz w:val="20"/>
        </w:rPr>
        <w:sectPr w:rsidR="00653C73">
          <w:pgSz w:w="16838" w:h="11906" w:orient="landscape"/>
          <w:pgMar w:top="720" w:right="720" w:bottom="864" w:left="936" w:header="288" w:footer="72" w:gutter="0"/>
          <w:cols w:space="720"/>
          <w:noEndnote/>
          <w:docGrid w:linePitch="360"/>
        </w:sectPr>
      </w:pPr>
    </w:p>
    <w:p w14:paraId="3A868947" w14:textId="77777777" w:rsidR="00A77B3E" w:rsidRDefault="00E62050">
      <w:pPr>
        <w:pStyle w:val="Heading2"/>
        <w:spacing w:before="100" w:after="0"/>
        <w:rPr>
          <w:rFonts w:ascii="Times New Roman" w:hAnsi="Times New Roman" w:cs="Times New Roman"/>
          <w:b w:val="0"/>
          <w:i w:val="0"/>
          <w:color w:val="000000"/>
          <w:sz w:val="24"/>
        </w:rPr>
      </w:pPr>
      <w:bookmarkStart w:id="25" w:name="_Toc129599297"/>
      <w:r>
        <w:rPr>
          <w:rFonts w:ascii="Times New Roman" w:hAnsi="Times New Roman" w:cs="Times New Roman"/>
          <w:b w:val="0"/>
          <w:i w:val="0"/>
          <w:color w:val="000000"/>
          <w:sz w:val="24"/>
        </w:rPr>
        <w:lastRenderedPageBreak/>
        <w:t xml:space="preserve">2.2. </w:t>
      </w:r>
      <w:r w:rsidR="00653C73" w:rsidRPr="00653C73">
        <w:rPr>
          <w:rFonts w:ascii="Times New Roman" w:hAnsi="Times New Roman" w:cs="Times New Roman"/>
          <w:b w:val="0"/>
          <w:i w:val="0"/>
          <w:color w:val="000000"/>
          <w:sz w:val="24"/>
        </w:rPr>
        <w:t>Техническа помощ</w:t>
      </w:r>
      <w:r>
        <w:rPr>
          <w:rFonts w:ascii="Times New Roman" w:hAnsi="Times New Roman" w:cs="Times New Roman"/>
          <w:b w:val="0"/>
          <w:i w:val="0"/>
          <w:color w:val="000000"/>
          <w:sz w:val="24"/>
        </w:rPr>
        <w:t xml:space="preserve">: </w:t>
      </w:r>
      <w:r w:rsidR="00653C73">
        <w:rPr>
          <w:rFonts w:ascii="Times New Roman" w:hAnsi="Times New Roman" w:cs="Times New Roman"/>
          <w:b w:val="0"/>
          <w:i w:val="0"/>
          <w:color w:val="000000"/>
          <w:sz w:val="24"/>
          <w:lang w:val="bg-BG"/>
        </w:rPr>
        <w:t xml:space="preserve">ТП </w:t>
      </w:r>
      <w:r>
        <w:rPr>
          <w:rFonts w:ascii="Times New Roman" w:hAnsi="Times New Roman" w:cs="Times New Roman"/>
          <w:b w:val="0"/>
          <w:i w:val="0"/>
          <w:color w:val="000000"/>
          <w:sz w:val="24"/>
        </w:rPr>
        <w:t xml:space="preserve">36(5). </w:t>
      </w:r>
      <w:r w:rsidR="00653C73" w:rsidRPr="00653C73">
        <w:rPr>
          <w:rFonts w:ascii="Times New Roman" w:hAnsi="Times New Roman" w:cs="Times New Roman"/>
          <w:b w:val="0"/>
          <w:i w:val="0"/>
          <w:color w:val="000000"/>
          <w:sz w:val="24"/>
        </w:rPr>
        <w:t xml:space="preserve">Техническа помощ </w:t>
      </w:r>
      <w:r w:rsidR="002B267E">
        <w:rPr>
          <w:rFonts w:ascii="Times New Roman" w:hAnsi="Times New Roman" w:cs="Times New Roman"/>
          <w:b w:val="0"/>
          <w:i w:val="0"/>
          <w:color w:val="000000"/>
          <w:sz w:val="24"/>
        </w:rPr>
        <w:t>–</w:t>
      </w:r>
      <w:r>
        <w:rPr>
          <w:rFonts w:ascii="Times New Roman" w:hAnsi="Times New Roman" w:cs="Times New Roman"/>
          <w:b w:val="0"/>
          <w:i w:val="0"/>
          <w:color w:val="000000"/>
          <w:sz w:val="24"/>
        </w:rPr>
        <w:t xml:space="preserve"> </w:t>
      </w:r>
      <w:r w:rsidR="002B267E">
        <w:rPr>
          <w:rFonts w:ascii="Times New Roman" w:hAnsi="Times New Roman" w:cs="Times New Roman"/>
          <w:b w:val="0"/>
          <w:i w:val="0"/>
          <w:color w:val="000000"/>
          <w:sz w:val="24"/>
          <w:lang w:val="bg-BG"/>
        </w:rPr>
        <w:t xml:space="preserve">единна </w:t>
      </w:r>
      <w:r w:rsidR="00653C73" w:rsidRPr="00653C73">
        <w:rPr>
          <w:rFonts w:ascii="Times New Roman" w:hAnsi="Times New Roman" w:cs="Times New Roman"/>
          <w:b w:val="0"/>
          <w:i w:val="0"/>
          <w:color w:val="000000"/>
          <w:sz w:val="24"/>
        </w:rPr>
        <w:t xml:space="preserve">ставка </w:t>
      </w:r>
      <w:r>
        <w:rPr>
          <w:rFonts w:ascii="Times New Roman" w:hAnsi="Times New Roman" w:cs="Times New Roman"/>
          <w:b w:val="0"/>
          <w:i w:val="0"/>
          <w:color w:val="000000"/>
          <w:sz w:val="24"/>
        </w:rPr>
        <w:t>(</w:t>
      </w:r>
      <w:r w:rsidR="00653C73">
        <w:rPr>
          <w:rFonts w:ascii="Times New Roman" w:hAnsi="Times New Roman" w:cs="Times New Roman"/>
          <w:b w:val="0"/>
          <w:i w:val="0"/>
          <w:color w:val="000000"/>
          <w:sz w:val="24"/>
          <w:lang w:val="bg-BG"/>
        </w:rPr>
        <w:t>чл</w:t>
      </w:r>
      <w:r>
        <w:rPr>
          <w:rFonts w:ascii="Times New Roman" w:hAnsi="Times New Roman" w:cs="Times New Roman"/>
          <w:b w:val="0"/>
          <w:i w:val="0"/>
          <w:color w:val="000000"/>
          <w:sz w:val="24"/>
        </w:rPr>
        <w:t xml:space="preserve">. 36(5) </w:t>
      </w:r>
      <w:r w:rsidR="00653C73">
        <w:rPr>
          <w:rFonts w:ascii="Times New Roman" w:hAnsi="Times New Roman" w:cs="Times New Roman"/>
          <w:b w:val="0"/>
          <w:i w:val="0"/>
          <w:color w:val="000000"/>
          <w:sz w:val="24"/>
          <w:lang w:val="bg-BG"/>
        </w:rPr>
        <w:t>РОР</w:t>
      </w:r>
      <w:r>
        <w:rPr>
          <w:rFonts w:ascii="Times New Roman" w:hAnsi="Times New Roman" w:cs="Times New Roman"/>
          <w:b w:val="0"/>
          <w:i w:val="0"/>
          <w:color w:val="000000"/>
          <w:sz w:val="24"/>
        </w:rPr>
        <w:t>)</w:t>
      </w:r>
      <w:bookmarkEnd w:id="25"/>
    </w:p>
    <w:p w14:paraId="564D3DB0" w14:textId="77777777" w:rsidR="00A77B3E" w:rsidRDefault="00A77B3E">
      <w:pPr>
        <w:spacing w:before="100"/>
        <w:rPr>
          <w:color w:val="000000"/>
          <w:sz w:val="0"/>
        </w:rPr>
      </w:pPr>
    </w:p>
    <w:p w14:paraId="6C445B0E" w14:textId="77777777" w:rsidR="00A77B3E" w:rsidRDefault="00653C73">
      <w:pPr>
        <w:spacing w:before="100"/>
        <w:rPr>
          <w:color w:val="000000"/>
        </w:rPr>
      </w:pPr>
      <w:r w:rsidRPr="00653C73">
        <w:rPr>
          <w:color w:val="000000"/>
        </w:rPr>
        <w:t>Основание: член 22, параграф 3, буква е), член 36, параграф 5 от РОР; , член 37 и член 95 от РОР</w:t>
      </w:r>
    </w:p>
    <w:p w14:paraId="15662B4A" w14:textId="77777777" w:rsidR="00A77B3E" w:rsidRDefault="00E62050">
      <w:pPr>
        <w:pStyle w:val="Heading3"/>
        <w:spacing w:before="100" w:after="0"/>
        <w:rPr>
          <w:rFonts w:ascii="Times New Roman" w:hAnsi="Times New Roman" w:cs="Times New Roman"/>
          <w:b w:val="0"/>
          <w:color w:val="000000"/>
          <w:sz w:val="24"/>
        </w:rPr>
      </w:pPr>
      <w:bookmarkStart w:id="26" w:name="_Toc129599298"/>
      <w:r>
        <w:rPr>
          <w:rFonts w:ascii="Times New Roman" w:hAnsi="Times New Roman" w:cs="Times New Roman"/>
          <w:b w:val="0"/>
          <w:color w:val="000000"/>
          <w:sz w:val="24"/>
        </w:rPr>
        <w:t xml:space="preserve">2.2.1. </w:t>
      </w:r>
      <w:r w:rsidR="00653C73" w:rsidRPr="00653C73">
        <w:rPr>
          <w:rFonts w:ascii="Times New Roman" w:hAnsi="Times New Roman" w:cs="Times New Roman"/>
          <w:b w:val="0"/>
          <w:color w:val="000000"/>
          <w:sz w:val="24"/>
        </w:rPr>
        <w:t>Описание</w:t>
      </w:r>
      <w:bookmarkEnd w:id="26"/>
    </w:p>
    <w:p w14:paraId="0B976B7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2F6D49" w14:paraId="0429B38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023C79" w14:textId="77777777" w:rsidR="00A77B3E" w:rsidRDefault="00A77B3E">
            <w:pPr>
              <w:spacing w:before="100"/>
              <w:rPr>
                <w:color w:val="000000"/>
                <w:sz w:val="0"/>
              </w:rPr>
            </w:pPr>
          </w:p>
          <w:p w14:paraId="2FD6C70C" w14:textId="77777777" w:rsidR="00653C73" w:rsidRDefault="00653C73" w:rsidP="00653C73">
            <w:pPr>
              <w:spacing w:before="60" w:after="60"/>
              <w:jc w:val="both"/>
            </w:pPr>
            <w:r>
              <w:t>Техническата помощ подпомага действията на Управляващия орган (УО) по ФВС за ефективно и ефикасно изпълнение на целите и показателите, заложени в програмата.</w:t>
            </w:r>
          </w:p>
          <w:p w14:paraId="5D9EF013" w14:textId="77777777" w:rsidR="00653C73" w:rsidRDefault="00653C73" w:rsidP="00653C73">
            <w:pPr>
              <w:spacing w:before="60" w:after="60"/>
              <w:jc w:val="both"/>
            </w:pPr>
            <w:r>
              <w:t>Дирекция „Международни проекти“ е структура към Министерството на вътрешните работи (МВР) за управление на програми и проекти, финансирани от Европейския съюз и други международни програми и договори, включително Норвежкия финансов механизъм. Функциите на дирекцията са описани в Правилника за устройството и дейността на МВР и в Системите за управление и контрол (СУК). Дирекцията се състои от три отдела с ясно определени и диференцирани отговорности, което осигурява ефективното изпълнение на дейностите, свързани с управлението и контрола на европейските средства.</w:t>
            </w:r>
          </w:p>
          <w:p w14:paraId="356CE524" w14:textId="77777777" w:rsidR="00653C73" w:rsidRDefault="00653C73" w:rsidP="00653C73">
            <w:pPr>
              <w:spacing w:before="60" w:after="60"/>
              <w:jc w:val="both"/>
            </w:pPr>
            <w:r>
              <w:t>Дирекция „Международни проекти“ има значителен опит в управлението на програми и проекти от предходните програмни периоди.</w:t>
            </w:r>
          </w:p>
          <w:p w14:paraId="2D9F608F" w14:textId="77777777" w:rsidR="00653C73" w:rsidRDefault="00653C73" w:rsidP="00653C73">
            <w:pPr>
              <w:spacing w:before="60" w:after="60"/>
              <w:jc w:val="both"/>
            </w:pPr>
            <w:r>
              <w:t>С Решение № 712 от 6 октомври 2020 г. на Министерския съвет на Република България Дирекция „Международни проекти“ е определена за Управляващ орган (УО) на Програмата по Фонда за вътрешна сигурност за програмния период 2021 - 2027 г.</w:t>
            </w:r>
          </w:p>
          <w:p w14:paraId="5648168E" w14:textId="77777777" w:rsidR="00653C73" w:rsidRDefault="00653C73" w:rsidP="00653C73">
            <w:pPr>
              <w:spacing w:before="60" w:after="60"/>
              <w:jc w:val="both"/>
            </w:pPr>
            <w:r>
              <w:t>Инвестициите, предвидени в рамките на техническата помощ, ще продължат да осигуряват добра работна среда и експертни и мотивирани човешки ресурси, за да се постигне висок стандарт на ефективно управление и контрол на програмата.</w:t>
            </w:r>
          </w:p>
          <w:p w14:paraId="26961FCD" w14:textId="77777777" w:rsidR="00653C73" w:rsidRDefault="00653C73" w:rsidP="00653C73">
            <w:pPr>
              <w:spacing w:before="60" w:after="60"/>
              <w:jc w:val="both"/>
            </w:pPr>
            <w:r>
              <w:t>Това ще бъде постигнато чрез изпълнение на следните действия:</w:t>
            </w:r>
          </w:p>
          <w:p w14:paraId="684EC99F" w14:textId="77777777" w:rsidR="00653C73" w:rsidRDefault="00653C73" w:rsidP="00653C73">
            <w:pPr>
              <w:spacing w:before="60" w:after="60"/>
              <w:jc w:val="both"/>
            </w:pPr>
            <w:r>
              <w:t xml:space="preserve">• осигуряване на необходимото техническо оборудване (хардуер и софтуер), включително офис оборудване, което е необходимо, за да се гарантира управлението, внедряването, мониторинга, оценката и контрола на </w:t>
            </w:r>
            <w:r w:rsidR="00FA13C2">
              <w:t xml:space="preserve">програмата </w:t>
            </w:r>
            <w:r>
              <w:t>по ФВС;</w:t>
            </w:r>
          </w:p>
          <w:p w14:paraId="3199C3E9" w14:textId="77777777" w:rsidR="00653C73" w:rsidRDefault="00653C73" w:rsidP="00653C73">
            <w:pPr>
              <w:spacing w:before="60" w:after="60"/>
              <w:jc w:val="both"/>
            </w:pPr>
            <w:r>
              <w:t>• укрепване на капацитета на персонала чрез обучения, семинари, семинари, учебни посещения, обмен на добри практики и опит и други;</w:t>
            </w:r>
          </w:p>
          <w:p w14:paraId="72FD91BD" w14:textId="77777777" w:rsidR="00653C73" w:rsidRDefault="00653C73" w:rsidP="00653C73">
            <w:pPr>
              <w:spacing w:before="60" w:after="60"/>
              <w:jc w:val="both"/>
            </w:pPr>
            <w:r>
              <w:t>• осигуряване на командировъчни разходи;</w:t>
            </w:r>
          </w:p>
          <w:p w14:paraId="04CD0689" w14:textId="77777777" w:rsidR="00653C73" w:rsidRDefault="00653C73" w:rsidP="00653C73">
            <w:pPr>
              <w:spacing w:before="60" w:after="60"/>
              <w:jc w:val="both"/>
            </w:pPr>
            <w:r>
              <w:t>• осигуряване на разходите за възнаграждение на персонала, включително застраховки и всички други разходи съгласно националното законодателство;</w:t>
            </w:r>
          </w:p>
          <w:p w14:paraId="48806772" w14:textId="77777777" w:rsidR="00653C73" w:rsidRDefault="00653C73" w:rsidP="00653C73">
            <w:pPr>
              <w:spacing w:before="60" w:after="60"/>
              <w:jc w:val="both"/>
            </w:pPr>
            <w:r>
              <w:t>• наемане на външни консултанти и експерти, ако е необходимо;</w:t>
            </w:r>
          </w:p>
          <w:p w14:paraId="010D6AAB" w14:textId="77777777" w:rsidR="00653C73" w:rsidRDefault="00653C73" w:rsidP="00653C73">
            <w:pPr>
              <w:spacing w:before="60" w:after="60"/>
              <w:jc w:val="both"/>
            </w:pPr>
            <w:r>
              <w:t>• мерки за комуникация и видимост.</w:t>
            </w:r>
          </w:p>
          <w:p w14:paraId="7AC1C4F6" w14:textId="77777777" w:rsidR="00653C73" w:rsidRDefault="00653C73" w:rsidP="00653C73">
            <w:pPr>
              <w:spacing w:before="60" w:after="60"/>
              <w:jc w:val="both"/>
            </w:pPr>
            <w:r>
              <w:t>Тези дейности са насочени към укрепване на капацитета и ефективността на УО и ще допринесат за успешното прилагане на европейската политика за постигане на високо ниво на сигурност в ЕС.</w:t>
            </w:r>
          </w:p>
          <w:p w14:paraId="76ADFCF6" w14:textId="77777777" w:rsidR="00653C73" w:rsidRDefault="00653C73" w:rsidP="00653C73">
            <w:pPr>
              <w:spacing w:before="60" w:after="60"/>
              <w:jc w:val="both"/>
            </w:pPr>
            <w:r>
              <w:t>Очаквани резултати:</w:t>
            </w:r>
          </w:p>
          <w:p w14:paraId="0BCE6ED1" w14:textId="77777777" w:rsidR="00653C73" w:rsidRDefault="00653C73" w:rsidP="00653C73">
            <w:pPr>
              <w:spacing w:before="60" w:after="60"/>
              <w:jc w:val="both"/>
            </w:pPr>
            <w:r>
              <w:t xml:space="preserve">• постигане на висок стандарт на изпълнение, мониторинг, оценка и контрол на </w:t>
            </w:r>
            <w:r w:rsidR="00C101EB">
              <w:t>програмата</w:t>
            </w:r>
            <w:r>
              <w:t>;</w:t>
            </w:r>
          </w:p>
          <w:p w14:paraId="097E0EBD" w14:textId="77777777" w:rsidR="00653C73" w:rsidRDefault="00653C73" w:rsidP="00653C73">
            <w:pPr>
              <w:spacing w:before="60" w:after="60"/>
              <w:jc w:val="both"/>
            </w:pPr>
            <w:r>
              <w:t>• осигуряване на добра работна среда и подобрена култура на работа, насочена към постигане на резултати;</w:t>
            </w:r>
          </w:p>
          <w:p w14:paraId="44080EB9" w14:textId="77777777" w:rsidR="00A77B3E" w:rsidRDefault="00653C73" w:rsidP="00653C73">
            <w:pPr>
              <w:spacing w:before="100"/>
              <w:rPr>
                <w:color w:val="000000"/>
              </w:rPr>
            </w:pPr>
            <w:r>
              <w:t>• провеждане на засилен и активен диалог със заинтересованите страни и широката общественост с цел популяризиране на програмата, нейните цели и резултати, както и приноса на ЕС.</w:t>
            </w:r>
          </w:p>
        </w:tc>
      </w:tr>
    </w:tbl>
    <w:p w14:paraId="5094AE36" w14:textId="77777777" w:rsidR="00A77B3E" w:rsidRDefault="00A77B3E">
      <w:pPr>
        <w:spacing w:before="100"/>
        <w:rPr>
          <w:color w:val="000000"/>
        </w:rPr>
        <w:sectPr w:rsidR="00A77B3E">
          <w:headerReference w:type="even" r:id="rId53"/>
          <w:headerReference w:type="default" r:id="rId54"/>
          <w:footerReference w:type="even" r:id="rId55"/>
          <w:footerReference w:type="default" r:id="rId56"/>
          <w:headerReference w:type="first" r:id="rId57"/>
          <w:footerReference w:type="first" r:id="rId58"/>
          <w:pgSz w:w="11906" w:h="16838"/>
          <w:pgMar w:top="720" w:right="936" w:bottom="864" w:left="720" w:header="0" w:footer="72" w:gutter="0"/>
          <w:cols w:space="720"/>
          <w:noEndnote/>
          <w:docGrid w:linePitch="360"/>
        </w:sectPr>
      </w:pPr>
    </w:p>
    <w:p w14:paraId="72EC21E9" w14:textId="77777777" w:rsidR="00653C73" w:rsidRDefault="00E62050">
      <w:pPr>
        <w:spacing w:before="100"/>
        <w:rPr>
          <w:color w:val="000000"/>
          <w:sz w:val="0"/>
        </w:rPr>
      </w:pPr>
      <w:r>
        <w:rPr>
          <w:color w:val="000000"/>
        </w:rPr>
        <w:lastRenderedPageBreak/>
        <w:t xml:space="preserve">2.2. </w:t>
      </w:r>
      <w:r w:rsidR="00653C73" w:rsidRPr="00653C73">
        <w:rPr>
          <w:color w:val="000000"/>
        </w:rPr>
        <w:t xml:space="preserve">Техническа помощ: ТП 36(5). Техническа помощ </w:t>
      </w:r>
      <w:r w:rsidR="002B267E">
        <w:rPr>
          <w:color w:val="000000"/>
        </w:rPr>
        <w:t>–</w:t>
      </w:r>
      <w:r w:rsidR="00653C73" w:rsidRPr="00653C73">
        <w:rPr>
          <w:color w:val="000000"/>
        </w:rPr>
        <w:t xml:space="preserve"> </w:t>
      </w:r>
      <w:r w:rsidR="002B267E">
        <w:rPr>
          <w:color w:val="000000"/>
          <w:lang w:val="bg-BG"/>
        </w:rPr>
        <w:t xml:space="preserve">единна </w:t>
      </w:r>
      <w:r w:rsidR="00653C73" w:rsidRPr="00653C73">
        <w:rPr>
          <w:color w:val="000000"/>
        </w:rPr>
        <w:t>ставка (чл. 36(5) РОР)</w:t>
      </w:r>
    </w:p>
    <w:p w14:paraId="67DDCEBE" w14:textId="77777777" w:rsidR="00A77B3E" w:rsidRDefault="00E62050">
      <w:pPr>
        <w:pStyle w:val="Heading3"/>
        <w:spacing w:before="100" w:after="0"/>
        <w:rPr>
          <w:rFonts w:ascii="Times New Roman" w:hAnsi="Times New Roman" w:cs="Times New Roman"/>
          <w:b w:val="0"/>
          <w:color w:val="000000"/>
          <w:sz w:val="24"/>
        </w:rPr>
      </w:pPr>
      <w:bookmarkStart w:id="27" w:name="_Toc129599299"/>
      <w:r>
        <w:rPr>
          <w:rFonts w:ascii="Times New Roman" w:hAnsi="Times New Roman" w:cs="Times New Roman"/>
          <w:b w:val="0"/>
          <w:color w:val="000000"/>
          <w:sz w:val="24"/>
        </w:rPr>
        <w:t xml:space="preserve">2.2.2. </w:t>
      </w:r>
      <w:r w:rsidR="00653C73">
        <w:rPr>
          <w:rFonts w:ascii="Times New Roman" w:hAnsi="Times New Roman" w:cs="Times New Roman"/>
          <w:b w:val="0"/>
          <w:color w:val="000000"/>
          <w:sz w:val="24"/>
          <w:lang w:val="bg-BG"/>
        </w:rPr>
        <w:t>Индикативна разбивка на техническата помощ съгласно чл. 37 от РОР</w:t>
      </w:r>
      <w:bookmarkEnd w:id="27"/>
    </w:p>
    <w:p w14:paraId="43514CD4" w14:textId="77777777" w:rsidR="00A77B3E" w:rsidRDefault="00653C73">
      <w:pPr>
        <w:pStyle w:val="Heading4"/>
        <w:spacing w:before="100" w:after="0"/>
        <w:rPr>
          <w:b w:val="0"/>
          <w:color w:val="000000"/>
          <w:sz w:val="24"/>
        </w:rPr>
      </w:pPr>
      <w:bookmarkStart w:id="28" w:name="_Toc129599300"/>
      <w:r w:rsidRPr="00653C73">
        <w:rPr>
          <w:b w:val="0"/>
          <w:color w:val="000000"/>
          <w:sz w:val="24"/>
        </w:rPr>
        <w:t>Таблица 4: Индикативна разбивка</w:t>
      </w:r>
      <w:bookmarkEnd w:id="28"/>
    </w:p>
    <w:p w14:paraId="20FD39E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5261"/>
        <w:gridCol w:w="2579"/>
      </w:tblGrid>
      <w:tr w:rsidR="00653C73" w14:paraId="6C7488B1"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A256EA" w14:textId="77777777" w:rsidR="00653C73" w:rsidRDefault="00653C73" w:rsidP="00653C73">
            <w:pPr>
              <w:spacing w:before="100"/>
              <w:rPr>
                <w:color w:val="000000"/>
                <w:sz w:val="20"/>
              </w:rPr>
            </w:pPr>
            <w:r w:rsidRPr="002D3EC5">
              <w:rPr>
                <w:sz w:val="20"/>
                <w:szCs w:val="20"/>
              </w:rPr>
              <w:t>Вид интервенция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ED113F" w14:textId="77777777" w:rsidR="00653C73" w:rsidRPr="00653C73" w:rsidRDefault="00653C73" w:rsidP="00653C73">
            <w:pPr>
              <w:spacing w:before="100"/>
              <w:rPr>
                <w:color w:val="000000"/>
                <w:sz w:val="20"/>
                <w:lang w:val="bg-BG"/>
              </w:rPr>
            </w:pPr>
            <w:r>
              <w:rPr>
                <w:color w:val="000000"/>
                <w:sz w:val="20"/>
                <w:szCs w:val="20"/>
                <w:lang w:val="bg-BG"/>
              </w:rPr>
              <w:t>Код</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BB673D" w14:textId="77777777" w:rsidR="00653C73" w:rsidRDefault="00653C73" w:rsidP="00653C73">
            <w:pPr>
              <w:spacing w:before="100"/>
              <w:jc w:val="right"/>
              <w:rPr>
                <w:color w:val="000000"/>
                <w:sz w:val="20"/>
              </w:rPr>
            </w:pPr>
            <w:r>
              <w:rPr>
                <w:color w:val="000000"/>
                <w:sz w:val="20"/>
                <w:szCs w:val="20"/>
                <w:lang w:val="bg-BG"/>
              </w:rPr>
              <w:t>Индикативна сума</w:t>
            </w:r>
            <w:r w:rsidRPr="002D3EC5">
              <w:rPr>
                <w:color w:val="000000"/>
                <w:sz w:val="20"/>
                <w:szCs w:val="20"/>
              </w:rPr>
              <w:t xml:space="preserve"> (</w:t>
            </w:r>
            <w:r>
              <w:rPr>
                <w:color w:val="000000"/>
                <w:sz w:val="20"/>
                <w:szCs w:val="20"/>
                <w:lang w:val="bg-BG"/>
              </w:rPr>
              <w:t>евро</w:t>
            </w:r>
            <w:r w:rsidRPr="002D3EC5">
              <w:rPr>
                <w:color w:val="000000"/>
                <w:sz w:val="20"/>
                <w:szCs w:val="20"/>
              </w:rPr>
              <w:t>)</w:t>
            </w:r>
          </w:p>
        </w:tc>
      </w:tr>
      <w:tr w:rsidR="00653C73" w14:paraId="0A3FEF3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ACE01E" w14:textId="77777777" w:rsidR="00653C73" w:rsidRDefault="00653C73" w:rsidP="00653C73">
            <w:pPr>
              <w:spacing w:before="100"/>
              <w:rPr>
                <w:color w:val="000000"/>
                <w:sz w:val="20"/>
              </w:rPr>
            </w:pPr>
            <w:r w:rsidRPr="002D3EC5">
              <w:rPr>
                <w:color w:val="000000"/>
                <w:sz w:val="20"/>
                <w:szCs w:val="20"/>
              </w:rPr>
              <w:t>Област на интервенция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1EB570" w14:textId="77777777" w:rsidR="00653C73" w:rsidRDefault="00653C73" w:rsidP="00653C73">
            <w:pPr>
              <w:spacing w:before="100"/>
              <w:rPr>
                <w:color w:val="000000"/>
                <w:sz w:val="20"/>
              </w:rPr>
            </w:pPr>
            <w:r w:rsidRPr="002D3EC5">
              <w:rPr>
                <w:color w:val="000000"/>
                <w:sz w:val="20"/>
                <w:szCs w:val="20"/>
              </w:rPr>
              <w:t>034.</w:t>
            </w:r>
            <w:r w:rsidRPr="002D3EC5">
              <w:rPr>
                <w:sz w:val="20"/>
                <w:szCs w:val="20"/>
              </w:rPr>
              <w:t xml:space="preserve"> </w:t>
            </w:r>
            <w:r w:rsidRPr="002D3EC5">
              <w:rPr>
                <w:color w:val="000000"/>
                <w:sz w:val="20"/>
                <w:szCs w:val="20"/>
              </w:rPr>
              <w:t>Информация и комуникация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238206" w14:textId="77777777" w:rsidR="00653C73" w:rsidRDefault="00653C73" w:rsidP="00653C73">
            <w:pPr>
              <w:spacing w:before="100"/>
              <w:jc w:val="right"/>
              <w:rPr>
                <w:color w:val="000000"/>
                <w:sz w:val="20"/>
              </w:rPr>
            </w:pPr>
            <w:r w:rsidRPr="002D3EC5">
              <w:rPr>
                <w:color w:val="000000"/>
                <w:sz w:val="20"/>
                <w:szCs w:val="20"/>
              </w:rPr>
              <w:t>126 282,67</w:t>
            </w:r>
          </w:p>
        </w:tc>
      </w:tr>
      <w:tr w:rsidR="00653C73" w14:paraId="3CCE4AA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C9761C" w14:textId="77777777" w:rsidR="00653C73" w:rsidRDefault="00653C73" w:rsidP="00653C73">
            <w:pPr>
              <w:spacing w:before="100"/>
              <w:rPr>
                <w:color w:val="000000"/>
                <w:sz w:val="20"/>
              </w:rPr>
            </w:pPr>
            <w:r w:rsidRPr="002D3EC5">
              <w:rPr>
                <w:color w:val="000000"/>
                <w:sz w:val="20"/>
                <w:szCs w:val="20"/>
              </w:rPr>
              <w:t>Област на интервенция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C4FB8B" w14:textId="77777777" w:rsidR="00653C73" w:rsidRDefault="00653C73" w:rsidP="00653C73">
            <w:pPr>
              <w:spacing w:before="100"/>
              <w:rPr>
                <w:color w:val="000000"/>
                <w:sz w:val="20"/>
              </w:rPr>
            </w:pPr>
            <w:r w:rsidRPr="002D3EC5">
              <w:rPr>
                <w:color w:val="000000"/>
                <w:sz w:val="20"/>
                <w:szCs w:val="20"/>
              </w:rPr>
              <w:t>035.</w:t>
            </w:r>
            <w:r w:rsidRPr="002D3EC5">
              <w:rPr>
                <w:sz w:val="20"/>
                <w:szCs w:val="20"/>
              </w:rPr>
              <w:t xml:space="preserve"> </w:t>
            </w:r>
            <w:r w:rsidRPr="002D3EC5">
              <w:rPr>
                <w:color w:val="000000"/>
                <w:sz w:val="20"/>
                <w:szCs w:val="20"/>
              </w:rPr>
              <w:t>Подготовка, изпълнение, мониторинг и контрол</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F2E87F" w14:textId="77777777" w:rsidR="00653C73" w:rsidRDefault="00653C73" w:rsidP="00653C73">
            <w:pPr>
              <w:spacing w:before="100"/>
              <w:jc w:val="right"/>
              <w:rPr>
                <w:color w:val="000000"/>
                <w:sz w:val="20"/>
              </w:rPr>
            </w:pPr>
            <w:r w:rsidRPr="002D3EC5">
              <w:rPr>
                <w:color w:val="000000"/>
                <w:sz w:val="20"/>
                <w:szCs w:val="20"/>
              </w:rPr>
              <w:t>1 767 957,45</w:t>
            </w:r>
          </w:p>
        </w:tc>
      </w:tr>
      <w:tr w:rsidR="00653C73" w14:paraId="310346E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12752E" w14:textId="77777777" w:rsidR="00653C73" w:rsidRDefault="00653C73" w:rsidP="00653C73">
            <w:pPr>
              <w:spacing w:before="100"/>
              <w:rPr>
                <w:color w:val="000000"/>
                <w:sz w:val="20"/>
              </w:rPr>
            </w:pPr>
            <w:r w:rsidRPr="002D3EC5">
              <w:rPr>
                <w:color w:val="000000"/>
                <w:sz w:val="20"/>
                <w:szCs w:val="20"/>
              </w:rPr>
              <w:t>Област на интервенция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264C5D" w14:textId="77777777" w:rsidR="00653C73" w:rsidRDefault="00653C73" w:rsidP="00653C73">
            <w:pPr>
              <w:spacing w:before="100"/>
              <w:rPr>
                <w:color w:val="000000"/>
                <w:sz w:val="20"/>
              </w:rPr>
            </w:pPr>
            <w:r w:rsidRPr="002D3EC5">
              <w:rPr>
                <w:color w:val="000000"/>
                <w:sz w:val="20"/>
                <w:szCs w:val="20"/>
              </w:rPr>
              <w:t>036.</w:t>
            </w:r>
            <w:r w:rsidRPr="002D3EC5">
              <w:rPr>
                <w:sz w:val="20"/>
                <w:szCs w:val="20"/>
              </w:rPr>
              <w:t xml:space="preserve"> </w:t>
            </w:r>
            <w:r w:rsidRPr="002D3EC5">
              <w:rPr>
                <w:color w:val="000000"/>
                <w:sz w:val="20"/>
                <w:szCs w:val="20"/>
              </w:rPr>
              <w:t>Оценка и проучвания, събиране на данни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4C5FC7" w14:textId="77777777" w:rsidR="00653C73" w:rsidRDefault="00653C73" w:rsidP="00653C73">
            <w:pPr>
              <w:spacing w:before="100"/>
              <w:jc w:val="right"/>
              <w:rPr>
                <w:color w:val="000000"/>
                <w:sz w:val="20"/>
              </w:rPr>
            </w:pPr>
            <w:r w:rsidRPr="002D3EC5">
              <w:rPr>
                <w:color w:val="000000"/>
                <w:sz w:val="20"/>
                <w:szCs w:val="20"/>
              </w:rPr>
              <w:t>126 282,67</w:t>
            </w:r>
          </w:p>
        </w:tc>
      </w:tr>
      <w:tr w:rsidR="00653C73" w14:paraId="464F276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C33406" w14:textId="77777777" w:rsidR="00653C73" w:rsidRDefault="00653C73" w:rsidP="00653C73">
            <w:pPr>
              <w:spacing w:before="100"/>
              <w:rPr>
                <w:color w:val="000000"/>
                <w:sz w:val="20"/>
              </w:rPr>
            </w:pPr>
            <w:r w:rsidRPr="002D3EC5">
              <w:rPr>
                <w:color w:val="000000"/>
                <w:sz w:val="20"/>
                <w:szCs w:val="20"/>
              </w:rPr>
              <w:t>Област на интервенция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AFC7EA" w14:textId="77777777" w:rsidR="00653C73" w:rsidRDefault="00653C73" w:rsidP="00653C73">
            <w:pPr>
              <w:spacing w:before="100"/>
              <w:rPr>
                <w:color w:val="000000"/>
                <w:sz w:val="20"/>
              </w:rPr>
            </w:pPr>
            <w:r w:rsidRPr="002D3EC5">
              <w:rPr>
                <w:color w:val="000000"/>
                <w:sz w:val="20"/>
                <w:szCs w:val="20"/>
              </w:rPr>
              <w:t>037.</w:t>
            </w:r>
            <w:r w:rsidRPr="002D3EC5">
              <w:rPr>
                <w:sz w:val="20"/>
                <w:szCs w:val="20"/>
              </w:rPr>
              <w:t xml:space="preserve"> </w:t>
            </w:r>
            <w:r w:rsidRPr="002D3EC5">
              <w:rPr>
                <w:color w:val="000000"/>
                <w:sz w:val="20"/>
                <w:szCs w:val="20"/>
              </w:rPr>
              <w:t>Изграждане на капацитет</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95078A" w14:textId="77777777" w:rsidR="00653C73" w:rsidRDefault="00653C73" w:rsidP="00653C73">
            <w:pPr>
              <w:spacing w:before="100"/>
              <w:jc w:val="right"/>
              <w:rPr>
                <w:color w:val="000000"/>
                <w:sz w:val="20"/>
              </w:rPr>
            </w:pPr>
            <w:r w:rsidRPr="002D3EC5">
              <w:rPr>
                <w:color w:val="000000"/>
                <w:sz w:val="20"/>
                <w:szCs w:val="20"/>
              </w:rPr>
              <w:t>505 130,70</w:t>
            </w:r>
          </w:p>
        </w:tc>
      </w:tr>
    </w:tbl>
    <w:p w14:paraId="65A868D2" w14:textId="77777777" w:rsidR="00A77B3E" w:rsidRDefault="00A77B3E">
      <w:pPr>
        <w:spacing w:before="100"/>
        <w:rPr>
          <w:color w:val="000000"/>
          <w:sz w:val="20"/>
        </w:rPr>
        <w:sectPr w:rsidR="00A77B3E">
          <w:pgSz w:w="11906" w:h="16838"/>
          <w:pgMar w:top="720" w:right="936" w:bottom="864" w:left="720" w:header="0" w:footer="72" w:gutter="0"/>
          <w:cols w:space="720"/>
          <w:noEndnote/>
          <w:docGrid w:linePitch="360"/>
        </w:sectPr>
      </w:pPr>
    </w:p>
    <w:p w14:paraId="08CA3388" w14:textId="77777777" w:rsidR="00A77B3E" w:rsidRDefault="00E62050">
      <w:pPr>
        <w:pStyle w:val="Heading1"/>
        <w:spacing w:before="100" w:after="0"/>
        <w:rPr>
          <w:rFonts w:ascii="Times New Roman" w:hAnsi="Times New Roman" w:cs="Times New Roman"/>
          <w:b w:val="0"/>
          <w:color w:val="000000"/>
          <w:sz w:val="24"/>
        </w:rPr>
      </w:pPr>
      <w:bookmarkStart w:id="29" w:name="_Toc129599301"/>
      <w:r>
        <w:rPr>
          <w:rFonts w:ascii="Times New Roman" w:hAnsi="Times New Roman" w:cs="Times New Roman"/>
          <w:b w:val="0"/>
          <w:color w:val="000000"/>
          <w:sz w:val="24"/>
        </w:rPr>
        <w:lastRenderedPageBreak/>
        <w:t xml:space="preserve">3. </w:t>
      </w:r>
      <w:r w:rsidR="005603D3">
        <w:rPr>
          <w:rFonts w:ascii="Times New Roman" w:hAnsi="Times New Roman" w:cs="Times New Roman"/>
          <w:b w:val="0"/>
          <w:color w:val="000000"/>
          <w:sz w:val="24"/>
          <w:lang w:val="bg-BG"/>
        </w:rPr>
        <w:t>План за финансиране</w:t>
      </w:r>
      <w:bookmarkEnd w:id="29"/>
    </w:p>
    <w:p w14:paraId="5027A9D1" w14:textId="77777777" w:rsidR="00A77B3E" w:rsidRDefault="005603D3">
      <w:pPr>
        <w:spacing w:before="100"/>
        <w:rPr>
          <w:color w:val="000000"/>
          <w:sz w:val="12"/>
        </w:rPr>
      </w:pPr>
      <w:r w:rsidRPr="005603D3">
        <w:rPr>
          <w:color w:val="000000"/>
        </w:rPr>
        <w:t>Основание: член 22, параграф 3, буква ж) от РОР</w:t>
      </w:r>
    </w:p>
    <w:p w14:paraId="1CAAA6B9" w14:textId="77777777" w:rsidR="00A77B3E" w:rsidRDefault="00E62050">
      <w:pPr>
        <w:pStyle w:val="Heading2"/>
        <w:spacing w:before="100" w:after="0"/>
        <w:rPr>
          <w:rFonts w:ascii="Times New Roman" w:hAnsi="Times New Roman" w:cs="Times New Roman"/>
          <w:b w:val="0"/>
          <w:i w:val="0"/>
          <w:color w:val="000000"/>
          <w:sz w:val="24"/>
        </w:rPr>
      </w:pPr>
      <w:bookmarkStart w:id="30" w:name="_Toc129599302"/>
      <w:r>
        <w:rPr>
          <w:rFonts w:ascii="Times New Roman" w:hAnsi="Times New Roman" w:cs="Times New Roman"/>
          <w:b w:val="0"/>
          <w:i w:val="0"/>
          <w:color w:val="000000"/>
          <w:sz w:val="24"/>
        </w:rPr>
        <w:t xml:space="preserve">3.1. </w:t>
      </w:r>
      <w:r w:rsidR="005603D3" w:rsidRPr="005603D3">
        <w:rPr>
          <w:rFonts w:ascii="Times New Roman" w:hAnsi="Times New Roman" w:cs="Times New Roman"/>
          <w:b w:val="0"/>
          <w:i w:val="0"/>
          <w:color w:val="000000"/>
          <w:sz w:val="24"/>
        </w:rPr>
        <w:t>Финансови бюджетни кредити по години</w:t>
      </w:r>
      <w:bookmarkEnd w:id="30"/>
    </w:p>
    <w:p w14:paraId="59CABAFB" w14:textId="77777777" w:rsidR="005603D3" w:rsidRDefault="005603D3" w:rsidP="005603D3">
      <w:pPr>
        <w:pStyle w:val="Heading4"/>
        <w:spacing w:before="100" w:after="0"/>
        <w:rPr>
          <w:b w:val="0"/>
          <w:color w:val="000000"/>
          <w:sz w:val="24"/>
        </w:rPr>
      </w:pPr>
      <w:bookmarkStart w:id="31" w:name="_Toc129599303"/>
      <w:r w:rsidRPr="005603D3">
        <w:rPr>
          <w:b w:val="0"/>
          <w:color w:val="000000"/>
          <w:sz w:val="24"/>
        </w:rPr>
        <w:t>Таблица 5: Финансови бюджетни кредити по години</w:t>
      </w:r>
      <w:bookmarkEnd w:id="31"/>
    </w:p>
    <w:p w14:paraId="51741CBA" w14:textId="77777777" w:rsidR="005603D3" w:rsidRPr="005603D3" w:rsidRDefault="005603D3" w:rsidP="005603D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1380"/>
        <w:gridCol w:w="1379"/>
        <w:gridCol w:w="1379"/>
        <w:gridCol w:w="1379"/>
        <w:gridCol w:w="1379"/>
        <w:gridCol w:w="1379"/>
        <w:gridCol w:w="1379"/>
        <w:gridCol w:w="1218"/>
      </w:tblGrid>
      <w:tr w:rsidR="005603D3" w:rsidRPr="005603D3" w14:paraId="5521E0BA" w14:textId="77777777" w:rsidTr="00235B8B">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7EFAD6" w14:textId="77777777" w:rsidR="005603D3" w:rsidRPr="005603D3" w:rsidRDefault="005603D3" w:rsidP="005603D3">
            <w:pPr>
              <w:spacing w:before="100"/>
              <w:jc w:val="center"/>
              <w:rPr>
                <w:color w:val="000000"/>
                <w:sz w:val="20"/>
                <w:szCs w:val="20"/>
              </w:rPr>
            </w:pPr>
            <w:r w:rsidRPr="005603D3">
              <w:rPr>
                <w:sz w:val="20"/>
                <w:szCs w:val="20"/>
              </w:rPr>
              <w:t>Вид на разпределението</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69D9D5" w14:textId="77777777" w:rsidR="005603D3" w:rsidRPr="005603D3" w:rsidRDefault="005603D3" w:rsidP="005603D3">
            <w:pPr>
              <w:spacing w:before="100"/>
              <w:jc w:val="center"/>
              <w:rPr>
                <w:color w:val="000000"/>
                <w:sz w:val="20"/>
                <w:szCs w:val="20"/>
              </w:rPr>
            </w:pPr>
            <w:r w:rsidRPr="005603D3">
              <w:rPr>
                <w:sz w:val="20"/>
                <w:szCs w:val="20"/>
              </w:rPr>
              <w:t>2021 г.</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D67E0C" w14:textId="77777777" w:rsidR="005603D3" w:rsidRPr="005603D3" w:rsidRDefault="005603D3" w:rsidP="005603D3">
            <w:pPr>
              <w:spacing w:before="100"/>
              <w:jc w:val="center"/>
              <w:rPr>
                <w:color w:val="000000"/>
                <w:sz w:val="20"/>
                <w:szCs w:val="20"/>
              </w:rPr>
            </w:pPr>
            <w:r w:rsidRPr="005603D3">
              <w:rPr>
                <w:sz w:val="20"/>
                <w:szCs w:val="20"/>
              </w:rPr>
              <w:t>2022 г.</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AE58A4" w14:textId="77777777" w:rsidR="005603D3" w:rsidRPr="005603D3" w:rsidRDefault="005603D3" w:rsidP="005603D3">
            <w:pPr>
              <w:spacing w:before="100"/>
              <w:jc w:val="center"/>
              <w:rPr>
                <w:color w:val="000000"/>
                <w:sz w:val="20"/>
                <w:szCs w:val="20"/>
              </w:rPr>
            </w:pPr>
            <w:r w:rsidRPr="005603D3">
              <w:rPr>
                <w:sz w:val="20"/>
                <w:szCs w:val="20"/>
              </w:rPr>
              <w:t>2023 г.</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8B73F5" w14:textId="77777777" w:rsidR="005603D3" w:rsidRPr="005603D3" w:rsidRDefault="005603D3" w:rsidP="005603D3">
            <w:pPr>
              <w:spacing w:before="100"/>
              <w:jc w:val="center"/>
              <w:rPr>
                <w:color w:val="000000"/>
                <w:sz w:val="20"/>
                <w:szCs w:val="20"/>
              </w:rPr>
            </w:pPr>
            <w:r w:rsidRPr="005603D3">
              <w:rPr>
                <w:sz w:val="20"/>
                <w:szCs w:val="20"/>
              </w:rPr>
              <w:t>2024 г.</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EC3274" w14:textId="77777777" w:rsidR="005603D3" w:rsidRPr="005603D3" w:rsidRDefault="005603D3" w:rsidP="005603D3">
            <w:pPr>
              <w:spacing w:before="100"/>
              <w:jc w:val="center"/>
              <w:rPr>
                <w:color w:val="000000"/>
                <w:sz w:val="20"/>
                <w:szCs w:val="20"/>
              </w:rPr>
            </w:pPr>
            <w:r w:rsidRPr="005603D3">
              <w:rPr>
                <w:sz w:val="20"/>
                <w:szCs w:val="20"/>
              </w:rPr>
              <w:t>2025 г.</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586BAC" w14:textId="77777777" w:rsidR="005603D3" w:rsidRPr="005603D3" w:rsidRDefault="005603D3" w:rsidP="005603D3">
            <w:pPr>
              <w:spacing w:before="100"/>
              <w:jc w:val="center"/>
              <w:rPr>
                <w:color w:val="000000"/>
                <w:sz w:val="20"/>
                <w:szCs w:val="20"/>
              </w:rPr>
            </w:pPr>
            <w:r w:rsidRPr="005603D3">
              <w:rPr>
                <w:sz w:val="20"/>
                <w:szCs w:val="20"/>
              </w:rPr>
              <w:t>2026 г.</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279606" w14:textId="77777777" w:rsidR="005603D3" w:rsidRPr="005603D3" w:rsidRDefault="005603D3" w:rsidP="005603D3">
            <w:pPr>
              <w:spacing w:before="100"/>
              <w:jc w:val="center"/>
              <w:rPr>
                <w:color w:val="000000"/>
                <w:sz w:val="20"/>
                <w:szCs w:val="20"/>
              </w:rPr>
            </w:pPr>
            <w:r w:rsidRPr="005603D3">
              <w:rPr>
                <w:sz w:val="20"/>
                <w:szCs w:val="20"/>
              </w:rPr>
              <w:t>2027 г.</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B35DCA" w14:textId="77777777" w:rsidR="005603D3" w:rsidRPr="005603D3" w:rsidRDefault="005603D3" w:rsidP="005603D3">
            <w:pPr>
              <w:spacing w:before="100"/>
              <w:jc w:val="center"/>
              <w:rPr>
                <w:color w:val="000000"/>
                <w:sz w:val="20"/>
                <w:szCs w:val="20"/>
              </w:rPr>
            </w:pPr>
            <w:r w:rsidRPr="005603D3">
              <w:rPr>
                <w:sz w:val="20"/>
                <w:szCs w:val="20"/>
              </w:rPr>
              <w:t>Общо</w:t>
            </w:r>
          </w:p>
        </w:tc>
      </w:tr>
    </w:tbl>
    <w:p w14:paraId="1921FCBC" w14:textId="77777777" w:rsidR="00A77B3E" w:rsidRDefault="00E62050">
      <w:pPr>
        <w:spacing w:before="100"/>
        <w:rPr>
          <w:color w:val="000000"/>
        </w:rPr>
      </w:pPr>
      <w:r>
        <w:rPr>
          <w:color w:val="000000"/>
          <w:sz w:val="16"/>
        </w:rPr>
        <w:br w:type="page"/>
      </w:r>
    </w:p>
    <w:p w14:paraId="47E966E7" w14:textId="77777777" w:rsidR="00A77B3E" w:rsidRDefault="00E62050">
      <w:pPr>
        <w:pStyle w:val="Heading2"/>
        <w:spacing w:before="100" w:after="0"/>
        <w:rPr>
          <w:rFonts w:ascii="Times New Roman" w:hAnsi="Times New Roman" w:cs="Times New Roman"/>
          <w:b w:val="0"/>
          <w:i w:val="0"/>
          <w:color w:val="000000"/>
          <w:sz w:val="24"/>
        </w:rPr>
      </w:pPr>
      <w:bookmarkStart w:id="32" w:name="_Toc129599304"/>
      <w:r>
        <w:rPr>
          <w:rFonts w:ascii="Times New Roman" w:hAnsi="Times New Roman" w:cs="Times New Roman"/>
          <w:b w:val="0"/>
          <w:i w:val="0"/>
          <w:color w:val="000000"/>
          <w:sz w:val="24"/>
        </w:rPr>
        <w:lastRenderedPageBreak/>
        <w:t xml:space="preserve">3.2. </w:t>
      </w:r>
      <w:r w:rsidR="00235B8B" w:rsidRPr="00235B8B">
        <w:rPr>
          <w:rFonts w:ascii="Times New Roman" w:hAnsi="Times New Roman" w:cs="Times New Roman"/>
          <w:b w:val="0"/>
          <w:i w:val="0"/>
          <w:color w:val="000000"/>
          <w:sz w:val="24"/>
        </w:rPr>
        <w:t>Общо разпределени финансови средства</w:t>
      </w:r>
      <w:bookmarkEnd w:id="32"/>
    </w:p>
    <w:p w14:paraId="601D8502" w14:textId="77777777" w:rsidR="00A77B3E" w:rsidRDefault="00235B8B">
      <w:pPr>
        <w:pStyle w:val="Heading4"/>
        <w:spacing w:before="100" w:after="0"/>
        <w:rPr>
          <w:b w:val="0"/>
          <w:color w:val="000000"/>
          <w:sz w:val="24"/>
        </w:rPr>
      </w:pPr>
      <w:bookmarkStart w:id="33" w:name="_Toc129599305"/>
      <w:r w:rsidRPr="00235B8B">
        <w:rPr>
          <w:b w:val="0"/>
          <w:color w:val="000000"/>
          <w:sz w:val="24"/>
        </w:rPr>
        <w:t>Таблица 6: Общо разпределени финансови средства по фондове и национален принос</w:t>
      </w:r>
      <w:bookmarkEnd w:id="33"/>
    </w:p>
    <w:p w14:paraId="67847671" w14:textId="77777777" w:rsidR="00A77B3E" w:rsidRDefault="00A77B3E">
      <w:pPr>
        <w:spacing w:before="100"/>
        <w:rPr>
          <w:color w:val="000000"/>
          <w:sz w:val="12"/>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1918"/>
        <w:gridCol w:w="1519"/>
        <w:gridCol w:w="1519"/>
        <w:gridCol w:w="1519"/>
        <w:gridCol w:w="1519"/>
        <w:gridCol w:w="1519"/>
        <w:gridCol w:w="1519"/>
        <w:gridCol w:w="1509"/>
      </w:tblGrid>
      <w:tr w:rsidR="00235B8B" w:rsidRPr="00DD3B7B" w14:paraId="7E6ECBE8" w14:textId="77777777" w:rsidTr="00235B8B">
        <w:trPr>
          <w:tblHeader/>
        </w:trPr>
        <w:tc>
          <w:tcPr>
            <w:tcW w:w="1028"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C0A949" w14:textId="77777777" w:rsidR="00235B8B" w:rsidRPr="00DD3B7B" w:rsidRDefault="00235B8B" w:rsidP="00235B8B">
            <w:pPr>
              <w:spacing w:before="100"/>
              <w:jc w:val="center"/>
              <w:rPr>
                <w:color w:val="000000"/>
                <w:sz w:val="16"/>
                <w:szCs w:val="16"/>
              </w:rPr>
            </w:pPr>
            <w:r w:rsidRPr="00DD3B7B">
              <w:rPr>
                <w:sz w:val="16"/>
                <w:szCs w:val="16"/>
              </w:rPr>
              <w:t>Специфична цел (СЦ)</w:t>
            </w:r>
          </w:p>
        </w:tc>
        <w:tc>
          <w:tcPr>
            <w:tcW w:w="608"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2B465C" w14:textId="77777777" w:rsidR="00235B8B" w:rsidRPr="00DD3B7B" w:rsidRDefault="00235B8B" w:rsidP="00235B8B">
            <w:pPr>
              <w:spacing w:before="100"/>
              <w:jc w:val="center"/>
              <w:rPr>
                <w:color w:val="000000"/>
                <w:sz w:val="16"/>
                <w:szCs w:val="16"/>
              </w:rPr>
            </w:pPr>
            <w:r w:rsidRPr="00DD3B7B">
              <w:rPr>
                <w:sz w:val="16"/>
                <w:szCs w:val="16"/>
              </w:rPr>
              <w:t>Вид действие</w:t>
            </w:r>
          </w:p>
        </w:tc>
        <w:tc>
          <w:tcPr>
            <w:tcW w:w="481"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372665" w14:textId="77777777" w:rsidR="00235B8B" w:rsidRPr="00DD3B7B" w:rsidRDefault="00235B8B" w:rsidP="00235B8B">
            <w:pPr>
              <w:spacing w:before="100"/>
              <w:jc w:val="center"/>
              <w:rPr>
                <w:color w:val="000000"/>
                <w:sz w:val="16"/>
                <w:szCs w:val="16"/>
              </w:rPr>
            </w:pPr>
            <w:r w:rsidRPr="00DD3B7B">
              <w:rPr>
                <w:sz w:val="16"/>
                <w:szCs w:val="16"/>
              </w:rPr>
              <w:t>Основа за изчисляване на подкрепата от Съюза (общо или публична)</w:t>
            </w:r>
          </w:p>
        </w:tc>
        <w:tc>
          <w:tcPr>
            <w:tcW w:w="481"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C8A49D" w14:textId="77777777" w:rsidR="00235B8B" w:rsidRDefault="00235B8B" w:rsidP="00235B8B">
            <w:pPr>
              <w:spacing w:before="100"/>
              <w:jc w:val="center"/>
              <w:rPr>
                <w:sz w:val="16"/>
                <w:szCs w:val="16"/>
              </w:rPr>
            </w:pPr>
            <w:r w:rsidRPr="00DD3B7B">
              <w:rPr>
                <w:sz w:val="16"/>
                <w:szCs w:val="16"/>
              </w:rPr>
              <w:t xml:space="preserve">Финансово участие на Съюза </w:t>
            </w:r>
          </w:p>
          <w:p w14:paraId="52601685" w14:textId="77777777" w:rsidR="00235B8B" w:rsidRPr="00DD3B7B" w:rsidRDefault="00235B8B" w:rsidP="00235B8B">
            <w:pPr>
              <w:spacing w:before="100"/>
              <w:jc w:val="center"/>
              <w:rPr>
                <w:color w:val="000000"/>
                <w:sz w:val="16"/>
                <w:szCs w:val="16"/>
              </w:rPr>
            </w:pPr>
            <w:r w:rsidRPr="00DD3B7B">
              <w:rPr>
                <w:sz w:val="16"/>
                <w:szCs w:val="16"/>
              </w:rPr>
              <w:t>а)</w:t>
            </w:r>
          </w:p>
        </w:tc>
        <w:tc>
          <w:tcPr>
            <w:tcW w:w="481"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4CBB5E" w14:textId="77777777" w:rsidR="00235B8B" w:rsidRDefault="00235B8B" w:rsidP="00235B8B">
            <w:pPr>
              <w:spacing w:before="100"/>
              <w:jc w:val="center"/>
              <w:rPr>
                <w:sz w:val="16"/>
                <w:szCs w:val="16"/>
              </w:rPr>
            </w:pPr>
            <w:r w:rsidRPr="00DD3B7B">
              <w:rPr>
                <w:sz w:val="16"/>
                <w:szCs w:val="16"/>
              </w:rPr>
              <w:t>Национален принос</w:t>
            </w:r>
          </w:p>
          <w:p w14:paraId="59BCD0D3" w14:textId="77777777" w:rsidR="00235B8B" w:rsidRPr="00DD3B7B" w:rsidRDefault="00235B8B" w:rsidP="00235B8B">
            <w:pPr>
              <w:spacing w:before="100"/>
              <w:jc w:val="center"/>
              <w:rPr>
                <w:color w:val="000000"/>
                <w:sz w:val="16"/>
                <w:szCs w:val="16"/>
                <w:lang w:val="fr-BE"/>
              </w:rPr>
            </w:pPr>
            <w:r w:rsidRPr="00DD3B7B">
              <w:rPr>
                <w:sz w:val="16"/>
                <w:szCs w:val="16"/>
              </w:rPr>
              <w:t xml:space="preserve"> б)=в)+г)</w:t>
            </w:r>
          </w:p>
        </w:tc>
        <w:tc>
          <w:tcPr>
            <w:tcW w:w="962"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A41A06" w14:textId="77777777" w:rsidR="00235B8B" w:rsidRPr="00235B8B" w:rsidRDefault="00235B8B" w:rsidP="00235B8B">
            <w:pPr>
              <w:spacing w:before="100"/>
              <w:jc w:val="center"/>
              <w:rPr>
                <w:color w:val="000000"/>
                <w:sz w:val="16"/>
                <w:szCs w:val="16"/>
                <w:lang w:val="fr-BE"/>
              </w:rPr>
            </w:pPr>
            <w:r w:rsidRPr="00DD3B7B">
              <w:rPr>
                <w:sz w:val="16"/>
                <w:szCs w:val="16"/>
              </w:rPr>
              <w:t>Индикативно</w:t>
            </w:r>
            <w:r w:rsidRPr="00235B8B">
              <w:rPr>
                <w:sz w:val="16"/>
                <w:szCs w:val="16"/>
                <w:lang w:val="fr-BE"/>
              </w:rPr>
              <w:t xml:space="preserve"> </w:t>
            </w:r>
            <w:r w:rsidRPr="00DD3B7B">
              <w:rPr>
                <w:sz w:val="16"/>
                <w:szCs w:val="16"/>
              </w:rPr>
              <w:t>разпределение</w:t>
            </w:r>
            <w:r w:rsidRPr="00235B8B">
              <w:rPr>
                <w:sz w:val="16"/>
                <w:szCs w:val="16"/>
                <w:lang w:val="fr-BE"/>
              </w:rPr>
              <w:t xml:space="preserve"> </w:t>
            </w:r>
            <w:r w:rsidRPr="00DD3B7B">
              <w:rPr>
                <w:sz w:val="16"/>
                <w:szCs w:val="16"/>
              </w:rPr>
              <w:t>на</w:t>
            </w:r>
            <w:r w:rsidRPr="00235B8B">
              <w:rPr>
                <w:sz w:val="16"/>
                <w:szCs w:val="16"/>
                <w:lang w:val="fr-BE"/>
              </w:rPr>
              <w:t xml:space="preserve"> </w:t>
            </w:r>
            <w:r w:rsidRPr="00DD3B7B">
              <w:rPr>
                <w:sz w:val="16"/>
                <w:szCs w:val="16"/>
              </w:rPr>
              <w:t>националния</w:t>
            </w:r>
            <w:r w:rsidRPr="00235B8B">
              <w:rPr>
                <w:sz w:val="16"/>
                <w:szCs w:val="16"/>
                <w:lang w:val="fr-BE"/>
              </w:rPr>
              <w:t xml:space="preserve"> </w:t>
            </w:r>
            <w:r w:rsidRPr="00DD3B7B">
              <w:rPr>
                <w:sz w:val="16"/>
                <w:szCs w:val="16"/>
              </w:rPr>
              <w:t>принос</w:t>
            </w:r>
          </w:p>
        </w:tc>
        <w:tc>
          <w:tcPr>
            <w:tcW w:w="481"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873D2F" w14:textId="77777777" w:rsidR="00235B8B" w:rsidRPr="00DD3B7B" w:rsidRDefault="00235B8B" w:rsidP="00235B8B">
            <w:pPr>
              <w:spacing w:before="100"/>
              <w:jc w:val="center"/>
              <w:rPr>
                <w:sz w:val="16"/>
                <w:szCs w:val="16"/>
              </w:rPr>
            </w:pPr>
            <w:r w:rsidRPr="00DD3B7B">
              <w:rPr>
                <w:sz w:val="16"/>
                <w:szCs w:val="16"/>
              </w:rPr>
              <w:t>Общо</w:t>
            </w:r>
          </w:p>
          <w:p w14:paraId="5C430838" w14:textId="77777777" w:rsidR="00235B8B" w:rsidRPr="00DD3B7B" w:rsidRDefault="00235B8B" w:rsidP="00235B8B">
            <w:pPr>
              <w:spacing w:before="100"/>
              <w:jc w:val="center"/>
              <w:rPr>
                <w:color w:val="000000"/>
                <w:sz w:val="16"/>
                <w:szCs w:val="16"/>
              </w:rPr>
            </w:pPr>
            <w:r w:rsidRPr="00DD3B7B">
              <w:rPr>
                <w:sz w:val="16"/>
                <w:szCs w:val="16"/>
              </w:rPr>
              <w:t>д)=а)+б)</w:t>
            </w:r>
          </w:p>
        </w:tc>
        <w:tc>
          <w:tcPr>
            <w:tcW w:w="478"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9F2583" w14:textId="77777777" w:rsidR="00235B8B" w:rsidRPr="00DD3B7B" w:rsidRDefault="00235B8B" w:rsidP="00235B8B">
            <w:pPr>
              <w:spacing w:before="100"/>
              <w:jc w:val="center"/>
              <w:rPr>
                <w:color w:val="000000"/>
                <w:sz w:val="16"/>
                <w:szCs w:val="16"/>
              </w:rPr>
            </w:pPr>
            <w:r w:rsidRPr="00DD3B7B">
              <w:rPr>
                <w:sz w:val="16"/>
                <w:szCs w:val="16"/>
              </w:rPr>
              <w:t>Ставка на съфинансиране е)=а)/д)</w:t>
            </w:r>
          </w:p>
        </w:tc>
      </w:tr>
      <w:tr w:rsidR="00235B8B" w:rsidRPr="00DD3B7B" w14:paraId="4A27E01A" w14:textId="77777777" w:rsidTr="00235B8B">
        <w:trPr>
          <w:tblHeader/>
        </w:trPr>
        <w:tc>
          <w:tcPr>
            <w:tcW w:w="1028"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9181C2" w14:textId="77777777" w:rsidR="00235B8B" w:rsidRPr="00DD3B7B" w:rsidRDefault="00235B8B" w:rsidP="00235B8B">
            <w:pPr>
              <w:spacing w:before="100"/>
              <w:jc w:val="center"/>
              <w:rPr>
                <w:color w:val="000000"/>
                <w:sz w:val="16"/>
                <w:szCs w:val="16"/>
              </w:rPr>
            </w:pPr>
          </w:p>
        </w:tc>
        <w:tc>
          <w:tcPr>
            <w:tcW w:w="608"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2BE0B2" w14:textId="77777777" w:rsidR="00235B8B" w:rsidRPr="00DD3B7B" w:rsidRDefault="00235B8B" w:rsidP="00235B8B">
            <w:pPr>
              <w:spacing w:before="100"/>
              <w:jc w:val="center"/>
              <w:rPr>
                <w:color w:val="000000"/>
                <w:sz w:val="16"/>
                <w:szCs w:val="16"/>
              </w:rPr>
            </w:pPr>
          </w:p>
        </w:tc>
        <w:tc>
          <w:tcPr>
            <w:tcW w:w="481"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57D1D2" w14:textId="77777777" w:rsidR="00235B8B" w:rsidRPr="00DD3B7B" w:rsidRDefault="00235B8B" w:rsidP="00235B8B">
            <w:pPr>
              <w:spacing w:before="100"/>
              <w:jc w:val="center"/>
              <w:rPr>
                <w:color w:val="000000"/>
                <w:sz w:val="16"/>
                <w:szCs w:val="16"/>
              </w:rPr>
            </w:pPr>
          </w:p>
        </w:tc>
        <w:tc>
          <w:tcPr>
            <w:tcW w:w="481"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19583A" w14:textId="77777777" w:rsidR="00235B8B" w:rsidRPr="00DD3B7B" w:rsidRDefault="00235B8B" w:rsidP="00235B8B">
            <w:pPr>
              <w:spacing w:before="100"/>
              <w:jc w:val="center"/>
              <w:rPr>
                <w:color w:val="000000"/>
                <w:sz w:val="16"/>
                <w:szCs w:val="16"/>
              </w:rPr>
            </w:pPr>
          </w:p>
        </w:tc>
        <w:tc>
          <w:tcPr>
            <w:tcW w:w="481"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5A9B56" w14:textId="77777777" w:rsidR="00235B8B" w:rsidRPr="00DD3B7B" w:rsidRDefault="00235B8B" w:rsidP="00235B8B">
            <w:pPr>
              <w:spacing w:before="100"/>
              <w:jc w:val="center"/>
              <w:rPr>
                <w:color w:val="000000"/>
                <w:sz w:val="16"/>
                <w:szCs w:val="16"/>
              </w:rPr>
            </w:pP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060C27" w14:textId="77777777" w:rsidR="00235B8B" w:rsidRPr="00DD3B7B" w:rsidRDefault="00235B8B" w:rsidP="00235B8B">
            <w:pPr>
              <w:spacing w:before="100"/>
              <w:jc w:val="center"/>
              <w:rPr>
                <w:color w:val="000000"/>
                <w:sz w:val="16"/>
                <w:szCs w:val="16"/>
              </w:rPr>
            </w:pPr>
            <w:r w:rsidRPr="00DD3B7B">
              <w:rPr>
                <w:sz w:val="16"/>
                <w:szCs w:val="16"/>
              </w:rPr>
              <w:t>публичен в)</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0D332D" w14:textId="77777777" w:rsidR="00235B8B" w:rsidRPr="00DD3B7B" w:rsidRDefault="00235B8B" w:rsidP="00235B8B">
            <w:pPr>
              <w:spacing w:before="100"/>
              <w:jc w:val="center"/>
              <w:rPr>
                <w:color w:val="000000"/>
                <w:sz w:val="16"/>
                <w:szCs w:val="16"/>
              </w:rPr>
            </w:pPr>
            <w:r w:rsidRPr="00DD3B7B">
              <w:rPr>
                <w:sz w:val="16"/>
                <w:szCs w:val="16"/>
              </w:rPr>
              <w:t>частен г)</w:t>
            </w:r>
          </w:p>
        </w:tc>
        <w:tc>
          <w:tcPr>
            <w:tcW w:w="481"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70F455" w14:textId="77777777" w:rsidR="00235B8B" w:rsidRPr="00DD3B7B" w:rsidRDefault="00235B8B" w:rsidP="00235B8B">
            <w:pPr>
              <w:spacing w:before="100"/>
              <w:jc w:val="center"/>
              <w:rPr>
                <w:color w:val="000000"/>
                <w:sz w:val="16"/>
                <w:szCs w:val="16"/>
              </w:rPr>
            </w:pPr>
          </w:p>
        </w:tc>
        <w:tc>
          <w:tcPr>
            <w:tcW w:w="478"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5A1015" w14:textId="77777777" w:rsidR="00235B8B" w:rsidRPr="00DD3B7B" w:rsidRDefault="00235B8B" w:rsidP="00235B8B">
            <w:pPr>
              <w:spacing w:before="100"/>
              <w:jc w:val="center"/>
              <w:rPr>
                <w:color w:val="000000"/>
                <w:sz w:val="16"/>
                <w:szCs w:val="16"/>
              </w:rPr>
            </w:pPr>
          </w:p>
        </w:tc>
      </w:tr>
      <w:tr w:rsidR="00235B8B" w:rsidRPr="00DD3B7B" w14:paraId="2A8946E5"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D23A1" w14:textId="77777777" w:rsidR="00235B8B" w:rsidRPr="00DD3B7B" w:rsidRDefault="00235B8B" w:rsidP="00235B8B">
            <w:pPr>
              <w:spacing w:before="100"/>
              <w:rPr>
                <w:color w:val="000000"/>
                <w:sz w:val="16"/>
                <w:szCs w:val="16"/>
              </w:rPr>
            </w:pPr>
            <w:r w:rsidRPr="00DD3B7B">
              <w:rPr>
                <w:color w:val="000000"/>
                <w:sz w:val="16"/>
                <w:szCs w:val="16"/>
              </w:rPr>
              <w:t xml:space="preserve">Обмен на информация </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DCBDB1" w14:textId="77777777" w:rsidR="00235B8B" w:rsidRPr="00DD3B7B" w:rsidRDefault="00235B8B" w:rsidP="00235B8B">
            <w:pPr>
              <w:spacing w:before="100"/>
              <w:rPr>
                <w:color w:val="000000"/>
                <w:sz w:val="16"/>
                <w:szCs w:val="16"/>
              </w:rPr>
            </w:pPr>
            <w:r w:rsidRPr="00DD3B7B">
              <w:rPr>
                <w:color w:val="000000"/>
                <w:sz w:val="16"/>
                <w:szCs w:val="16"/>
              </w:rPr>
              <w:t>Стандартни дейности</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65FFD9" w14:textId="77777777" w:rsidR="00235B8B" w:rsidRPr="00DD3B7B" w:rsidRDefault="00235B8B" w:rsidP="00235B8B">
            <w:pPr>
              <w:spacing w:before="100"/>
              <w:rPr>
                <w:color w:val="000000"/>
                <w:sz w:val="16"/>
                <w:szCs w:val="16"/>
              </w:rPr>
            </w:pPr>
            <w:r w:rsidRPr="00781A14">
              <w:rPr>
                <w:color w:val="000000"/>
                <w:sz w:val="16"/>
                <w:szCs w:val="16"/>
              </w:rPr>
              <w:t>Общо</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150BC9" w14:textId="1D9E388F" w:rsidR="00235B8B" w:rsidRPr="00894EB3" w:rsidRDefault="00DB140D" w:rsidP="00235B8B">
            <w:pPr>
              <w:spacing w:before="100"/>
              <w:jc w:val="right"/>
              <w:rPr>
                <w:color w:val="000000"/>
                <w:sz w:val="16"/>
                <w:szCs w:val="16"/>
                <w:lang w:val="bg-BG"/>
              </w:rPr>
            </w:pPr>
            <w:r>
              <w:rPr>
                <w:color w:val="000000"/>
                <w:sz w:val="16"/>
                <w:lang w:val="bg-BG"/>
              </w:rPr>
              <w:t>11 111 724, 05</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7203B3" w14:textId="59EC87CF" w:rsidR="00235B8B" w:rsidRPr="00894EB3" w:rsidRDefault="00DB140D" w:rsidP="00235B8B">
            <w:pPr>
              <w:spacing w:before="100"/>
              <w:jc w:val="right"/>
              <w:rPr>
                <w:color w:val="000000"/>
                <w:sz w:val="16"/>
                <w:szCs w:val="16"/>
                <w:lang w:val="bg-BG"/>
              </w:rPr>
            </w:pPr>
            <w:r>
              <w:rPr>
                <w:color w:val="000000"/>
                <w:sz w:val="16"/>
                <w:lang w:val="bg-BG"/>
              </w:rPr>
              <w:t>3 703 908, 02</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04B029" w14:textId="62230370" w:rsidR="00235B8B" w:rsidRPr="00894EB3" w:rsidRDefault="00DB140D" w:rsidP="00235B8B">
            <w:pPr>
              <w:spacing w:before="100"/>
              <w:jc w:val="right"/>
              <w:rPr>
                <w:color w:val="000000"/>
                <w:sz w:val="16"/>
                <w:szCs w:val="16"/>
                <w:lang w:val="bg-BG"/>
              </w:rPr>
            </w:pPr>
            <w:r>
              <w:rPr>
                <w:color w:val="000000"/>
                <w:sz w:val="16"/>
                <w:lang w:val="bg-BG"/>
              </w:rPr>
              <w:t>703 908, 02</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E6EF55"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7872EF" w14:textId="7447C776" w:rsidR="00235B8B" w:rsidRPr="00894EB3" w:rsidRDefault="00DB140D" w:rsidP="00235B8B">
            <w:pPr>
              <w:spacing w:before="100"/>
              <w:jc w:val="right"/>
              <w:rPr>
                <w:color w:val="000000"/>
                <w:sz w:val="16"/>
                <w:szCs w:val="16"/>
                <w:lang w:val="bg-BG"/>
              </w:rPr>
            </w:pPr>
            <w:r>
              <w:rPr>
                <w:color w:val="000000"/>
                <w:sz w:val="16"/>
                <w:lang w:val="bg-BG"/>
              </w:rPr>
              <w:t>14 815 632, 07</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DE199B" w14:textId="00BBE9AA" w:rsidR="00235B8B" w:rsidRPr="00DD3B7B" w:rsidRDefault="00235B8B" w:rsidP="00235B8B">
            <w:pPr>
              <w:spacing w:before="100"/>
              <w:jc w:val="right"/>
              <w:rPr>
                <w:color w:val="000000"/>
                <w:sz w:val="16"/>
                <w:szCs w:val="16"/>
              </w:rPr>
            </w:pPr>
            <w:r>
              <w:rPr>
                <w:color w:val="000000"/>
                <w:sz w:val="16"/>
              </w:rPr>
              <w:t>74.9999999</w:t>
            </w:r>
            <w:r w:rsidR="00DB140D">
              <w:rPr>
                <w:color w:val="000000"/>
                <w:sz w:val="16"/>
                <w:lang w:val="bg-BG"/>
              </w:rPr>
              <w:t>8</w:t>
            </w:r>
            <w:r>
              <w:rPr>
                <w:color w:val="000000"/>
                <w:sz w:val="16"/>
              </w:rPr>
              <w:t>31%</w:t>
            </w:r>
          </w:p>
        </w:tc>
      </w:tr>
      <w:tr w:rsidR="00235B8B" w:rsidRPr="00DD3B7B" w14:paraId="75595EDC"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719522" w14:textId="77777777" w:rsidR="00235B8B" w:rsidRPr="00DD3B7B" w:rsidRDefault="00235B8B" w:rsidP="00235B8B">
            <w:pPr>
              <w:spacing w:before="100"/>
              <w:rPr>
                <w:color w:val="000000"/>
                <w:sz w:val="16"/>
                <w:szCs w:val="16"/>
              </w:rPr>
            </w:pPr>
            <w:r w:rsidRPr="00DD3B7B">
              <w:rPr>
                <w:color w:val="000000"/>
                <w:sz w:val="16"/>
                <w:szCs w:val="16"/>
              </w:rPr>
              <w:t xml:space="preserve">Обмен на информация </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73204D" w14:textId="77777777" w:rsidR="00235B8B" w:rsidRPr="00DD3B7B" w:rsidRDefault="00235B8B" w:rsidP="00235B8B">
            <w:pPr>
              <w:spacing w:before="100"/>
              <w:rPr>
                <w:color w:val="000000"/>
                <w:sz w:val="16"/>
                <w:szCs w:val="16"/>
              </w:rPr>
            </w:pPr>
            <w:r w:rsidRPr="00DD3B7B">
              <w:rPr>
                <w:color w:val="000000"/>
                <w:sz w:val="16"/>
                <w:szCs w:val="16"/>
              </w:rPr>
              <w:t>Действия съгласно Приложение IV</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AB19FE" w14:textId="77777777" w:rsidR="00235B8B" w:rsidRPr="00DD3B7B" w:rsidRDefault="00235B8B" w:rsidP="00235B8B">
            <w:pPr>
              <w:spacing w:before="100"/>
              <w:rPr>
                <w:color w:val="000000"/>
                <w:sz w:val="16"/>
                <w:szCs w:val="16"/>
              </w:rPr>
            </w:pPr>
            <w:r w:rsidRPr="00781A14">
              <w:rPr>
                <w:color w:val="000000"/>
                <w:sz w:val="16"/>
                <w:szCs w:val="16"/>
              </w:rPr>
              <w:t>Общо</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10EE08"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886AB2"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1F493"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C070EF"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B9703E" w14:textId="77777777" w:rsidR="00235B8B" w:rsidRPr="00DD3B7B" w:rsidRDefault="00235B8B" w:rsidP="00235B8B">
            <w:pPr>
              <w:spacing w:before="100"/>
              <w:jc w:val="right"/>
              <w:rPr>
                <w:color w:val="000000"/>
                <w:sz w:val="16"/>
                <w:szCs w:val="16"/>
              </w:rPr>
            </w:pPr>
            <w:r>
              <w:rPr>
                <w:color w:val="000000"/>
                <w:sz w:val="16"/>
              </w:rPr>
              <w:t>0,00</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13D82F" w14:textId="77777777" w:rsidR="00235B8B" w:rsidRPr="00DD3B7B" w:rsidRDefault="00235B8B" w:rsidP="00235B8B">
            <w:pPr>
              <w:spacing w:before="100"/>
              <w:jc w:val="right"/>
              <w:rPr>
                <w:color w:val="000000"/>
                <w:sz w:val="16"/>
                <w:szCs w:val="16"/>
              </w:rPr>
            </w:pPr>
          </w:p>
        </w:tc>
      </w:tr>
      <w:tr w:rsidR="00235B8B" w:rsidRPr="00DD3B7B" w14:paraId="2EC7E823"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990B52" w14:textId="77777777" w:rsidR="00235B8B" w:rsidRPr="00DD3B7B" w:rsidRDefault="00235B8B" w:rsidP="00235B8B">
            <w:pPr>
              <w:spacing w:before="100"/>
              <w:rPr>
                <w:color w:val="000000"/>
                <w:sz w:val="16"/>
                <w:szCs w:val="16"/>
              </w:rPr>
            </w:pPr>
            <w:r w:rsidRPr="00DD3B7B">
              <w:rPr>
                <w:color w:val="000000"/>
                <w:sz w:val="16"/>
                <w:szCs w:val="16"/>
              </w:rPr>
              <w:t xml:space="preserve">Обмен на информация </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5403C3" w14:textId="77777777" w:rsidR="00235B8B" w:rsidRPr="00DD3B7B" w:rsidRDefault="00235B8B" w:rsidP="00235B8B">
            <w:pPr>
              <w:spacing w:before="100"/>
              <w:rPr>
                <w:color w:val="000000"/>
                <w:sz w:val="16"/>
                <w:szCs w:val="16"/>
              </w:rPr>
            </w:pPr>
            <w:r w:rsidRPr="00DD3B7B">
              <w:rPr>
                <w:color w:val="000000"/>
                <w:sz w:val="16"/>
                <w:szCs w:val="16"/>
              </w:rPr>
              <w:t>Оперативна подкрепа</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210171" w14:textId="77777777" w:rsidR="00235B8B" w:rsidRPr="00DD3B7B" w:rsidRDefault="00235B8B" w:rsidP="00235B8B">
            <w:pPr>
              <w:spacing w:before="100"/>
              <w:rPr>
                <w:color w:val="000000"/>
                <w:sz w:val="16"/>
                <w:szCs w:val="16"/>
              </w:rPr>
            </w:pPr>
            <w:r w:rsidRPr="00781A14">
              <w:rPr>
                <w:color w:val="000000"/>
                <w:sz w:val="16"/>
                <w:szCs w:val="16"/>
              </w:rPr>
              <w:t>Общо</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413AD6" w14:textId="77777777" w:rsidR="00235B8B" w:rsidRPr="00DD3B7B" w:rsidRDefault="00235B8B" w:rsidP="00235B8B">
            <w:pPr>
              <w:spacing w:before="100"/>
              <w:jc w:val="right"/>
              <w:rPr>
                <w:color w:val="000000"/>
                <w:sz w:val="16"/>
                <w:szCs w:val="16"/>
              </w:rPr>
            </w:pPr>
            <w:r>
              <w:rPr>
                <w:color w:val="000000"/>
                <w:sz w:val="16"/>
              </w:rPr>
              <w:t>6 729 903,00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7AD965" w14:textId="77777777" w:rsidR="00235B8B" w:rsidRPr="00DD3B7B" w:rsidRDefault="00235B8B" w:rsidP="00235B8B">
            <w:pPr>
              <w:spacing w:before="100"/>
              <w:jc w:val="right"/>
              <w:rPr>
                <w:color w:val="000000"/>
                <w:sz w:val="16"/>
                <w:szCs w:val="16"/>
              </w:rPr>
            </w:pPr>
            <w:r>
              <w:rPr>
                <w:color w:val="000000"/>
                <w:sz w:val="16"/>
              </w:rPr>
              <w:t>2 243 301,00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F2AD45" w14:textId="77777777" w:rsidR="00235B8B" w:rsidRPr="00DD3B7B" w:rsidRDefault="00235B8B" w:rsidP="00235B8B">
            <w:pPr>
              <w:spacing w:before="100"/>
              <w:jc w:val="right"/>
              <w:rPr>
                <w:color w:val="000000"/>
                <w:sz w:val="16"/>
                <w:szCs w:val="16"/>
              </w:rPr>
            </w:pPr>
            <w:r>
              <w:rPr>
                <w:color w:val="000000"/>
                <w:sz w:val="16"/>
              </w:rPr>
              <w:t>2 243 301,00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EDDEAD"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844592" w14:textId="77777777" w:rsidR="00235B8B" w:rsidRPr="00DD3B7B" w:rsidRDefault="00235B8B" w:rsidP="00235B8B">
            <w:pPr>
              <w:spacing w:before="100"/>
              <w:jc w:val="right"/>
              <w:rPr>
                <w:color w:val="000000"/>
                <w:sz w:val="16"/>
                <w:szCs w:val="16"/>
              </w:rPr>
            </w:pPr>
            <w:r>
              <w:rPr>
                <w:color w:val="000000"/>
                <w:sz w:val="16"/>
              </w:rPr>
              <w:t>8 973 204,00</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6DF11E" w14:textId="77777777" w:rsidR="00235B8B" w:rsidRPr="00DD3B7B" w:rsidRDefault="00235B8B" w:rsidP="00235B8B">
            <w:pPr>
              <w:spacing w:before="100"/>
              <w:jc w:val="right"/>
              <w:rPr>
                <w:color w:val="000000"/>
                <w:sz w:val="16"/>
                <w:szCs w:val="16"/>
              </w:rPr>
            </w:pPr>
            <w:r>
              <w:rPr>
                <w:color w:val="000000"/>
                <w:sz w:val="16"/>
              </w:rPr>
              <w:t>75.0000000000%</w:t>
            </w:r>
          </w:p>
        </w:tc>
      </w:tr>
      <w:tr w:rsidR="00235B8B" w:rsidRPr="00DD3B7B" w14:paraId="38C884DA"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215132" w14:textId="77777777" w:rsidR="00235B8B" w:rsidRPr="00DD3B7B" w:rsidRDefault="00235B8B" w:rsidP="00235B8B">
            <w:pPr>
              <w:spacing w:before="100"/>
              <w:rPr>
                <w:color w:val="000000"/>
                <w:sz w:val="16"/>
                <w:szCs w:val="16"/>
              </w:rPr>
            </w:pPr>
            <w:r w:rsidRPr="00DD3B7B">
              <w:rPr>
                <w:color w:val="000000"/>
                <w:sz w:val="16"/>
                <w:szCs w:val="16"/>
              </w:rPr>
              <w:t>Общо за обмен на информация</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34B3C6" w14:textId="77777777" w:rsidR="00235B8B" w:rsidRPr="00DD3B7B" w:rsidRDefault="00235B8B" w:rsidP="00235B8B">
            <w:pPr>
              <w:spacing w:before="100"/>
              <w:rPr>
                <w:color w:val="000000"/>
                <w:sz w:val="16"/>
                <w:szCs w:val="16"/>
              </w:rPr>
            </w:pP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E166C9" w14:textId="77777777" w:rsidR="00235B8B" w:rsidRPr="00DD3B7B" w:rsidRDefault="00235B8B" w:rsidP="00235B8B">
            <w:pPr>
              <w:spacing w:before="100"/>
              <w:rPr>
                <w:color w:val="000000"/>
                <w:sz w:val="16"/>
                <w:szCs w:val="16"/>
              </w:rPr>
            </w:pPr>
            <w:r w:rsidRPr="00781A14">
              <w:rPr>
                <w:color w:val="000000"/>
                <w:sz w:val="16"/>
                <w:szCs w:val="16"/>
              </w:rPr>
              <w:t>Общо</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30D4CE" w14:textId="43FFD289" w:rsidR="00235B8B" w:rsidRPr="00894EB3" w:rsidRDefault="00DB140D" w:rsidP="00235B8B">
            <w:pPr>
              <w:spacing w:before="100"/>
              <w:jc w:val="right"/>
              <w:rPr>
                <w:color w:val="000000"/>
                <w:sz w:val="16"/>
                <w:szCs w:val="16"/>
                <w:lang w:val="bg-BG"/>
              </w:rPr>
            </w:pPr>
            <w:r>
              <w:rPr>
                <w:color w:val="000000"/>
                <w:sz w:val="16"/>
                <w:lang w:val="bg-BG"/>
              </w:rPr>
              <w:t>17 841 627, 05</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60CDFC" w14:textId="483C98F4" w:rsidR="00235B8B" w:rsidRPr="00894EB3" w:rsidRDefault="00DB140D" w:rsidP="00235B8B">
            <w:pPr>
              <w:spacing w:before="100"/>
              <w:jc w:val="right"/>
              <w:rPr>
                <w:color w:val="000000"/>
                <w:sz w:val="16"/>
                <w:szCs w:val="16"/>
                <w:lang w:val="bg-BG"/>
              </w:rPr>
            </w:pPr>
            <w:r>
              <w:rPr>
                <w:color w:val="000000"/>
                <w:sz w:val="16"/>
                <w:lang w:val="bg-BG"/>
              </w:rPr>
              <w:t>5 947 209, 02</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CB0CA6" w14:textId="57C49D02" w:rsidR="00235B8B" w:rsidRPr="00894EB3" w:rsidRDefault="00DB140D" w:rsidP="00235B8B">
            <w:pPr>
              <w:spacing w:before="100"/>
              <w:jc w:val="right"/>
              <w:rPr>
                <w:color w:val="000000"/>
                <w:sz w:val="16"/>
                <w:szCs w:val="16"/>
                <w:lang w:val="bg-BG"/>
              </w:rPr>
            </w:pPr>
            <w:r>
              <w:rPr>
                <w:color w:val="000000"/>
                <w:sz w:val="16"/>
                <w:lang w:val="bg-BG"/>
              </w:rPr>
              <w:t>5 947 209, 02</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B0F672"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EB71D2" w14:textId="2CC843CC" w:rsidR="00235B8B" w:rsidRPr="00894EB3" w:rsidRDefault="00DB140D" w:rsidP="00235B8B">
            <w:pPr>
              <w:spacing w:before="100"/>
              <w:jc w:val="right"/>
              <w:rPr>
                <w:color w:val="000000"/>
                <w:sz w:val="16"/>
                <w:szCs w:val="16"/>
                <w:lang w:val="bg-BG"/>
              </w:rPr>
            </w:pPr>
            <w:r>
              <w:rPr>
                <w:color w:val="000000"/>
                <w:sz w:val="16"/>
                <w:lang w:val="bg-BG"/>
              </w:rPr>
              <w:t>23 788 836, 07</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7A602D" w14:textId="19DDBC6F" w:rsidR="00235B8B" w:rsidRPr="00DD3B7B" w:rsidRDefault="00235B8B" w:rsidP="00DB140D">
            <w:pPr>
              <w:spacing w:before="100"/>
              <w:jc w:val="right"/>
              <w:rPr>
                <w:color w:val="000000"/>
                <w:sz w:val="16"/>
                <w:szCs w:val="16"/>
              </w:rPr>
            </w:pPr>
            <w:r>
              <w:rPr>
                <w:color w:val="000000"/>
                <w:sz w:val="16"/>
              </w:rPr>
              <w:t>74.</w:t>
            </w:r>
            <w:r w:rsidR="00DB140D">
              <w:rPr>
                <w:color w:val="000000"/>
                <w:sz w:val="16"/>
              </w:rPr>
              <w:t>99999998</w:t>
            </w:r>
            <w:r w:rsidR="00DB140D">
              <w:rPr>
                <w:color w:val="000000"/>
                <w:sz w:val="16"/>
                <w:lang w:val="bg-BG"/>
              </w:rPr>
              <w:t>95</w:t>
            </w:r>
            <w:r>
              <w:rPr>
                <w:color w:val="000000"/>
                <w:sz w:val="16"/>
              </w:rPr>
              <w:t>%</w:t>
            </w:r>
          </w:p>
        </w:tc>
      </w:tr>
      <w:tr w:rsidR="00235B8B" w:rsidRPr="00DD3B7B" w14:paraId="14774269"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9D6540" w14:textId="77777777" w:rsidR="00235B8B" w:rsidRPr="00DD3B7B" w:rsidRDefault="00235B8B" w:rsidP="00235B8B">
            <w:pPr>
              <w:spacing w:before="100"/>
              <w:rPr>
                <w:color w:val="000000"/>
                <w:sz w:val="16"/>
                <w:szCs w:val="16"/>
              </w:rPr>
            </w:pPr>
            <w:r w:rsidRPr="00DD3B7B">
              <w:rPr>
                <w:color w:val="000000"/>
                <w:sz w:val="16"/>
                <w:szCs w:val="16"/>
              </w:rPr>
              <w:t>Трансгранично сътрудничество</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424215" w14:textId="77777777" w:rsidR="00235B8B" w:rsidRPr="00DD3B7B" w:rsidRDefault="00235B8B" w:rsidP="00235B8B">
            <w:pPr>
              <w:spacing w:before="100"/>
              <w:rPr>
                <w:color w:val="000000"/>
                <w:sz w:val="16"/>
                <w:szCs w:val="16"/>
              </w:rPr>
            </w:pPr>
            <w:r w:rsidRPr="00DD3B7B">
              <w:rPr>
                <w:color w:val="000000"/>
                <w:sz w:val="16"/>
                <w:szCs w:val="16"/>
              </w:rPr>
              <w:t>Стандартни дейности</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EE06F5" w14:textId="77777777" w:rsidR="00235B8B" w:rsidRPr="00DD3B7B" w:rsidRDefault="00235B8B" w:rsidP="00235B8B">
            <w:pPr>
              <w:spacing w:before="100"/>
              <w:rPr>
                <w:color w:val="000000"/>
                <w:sz w:val="16"/>
                <w:szCs w:val="16"/>
              </w:rPr>
            </w:pPr>
            <w:r w:rsidRPr="00781A14">
              <w:rPr>
                <w:color w:val="000000"/>
                <w:sz w:val="16"/>
                <w:szCs w:val="16"/>
              </w:rPr>
              <w:t>Общо</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8DAAFD" w14:textId="6A92A133" w:rsidR="00235B8B" w:rsidRPr="00810A80" w:rsidRDefault="00810A80" w:rsidP="00235B8B">
            <w:pPr>
              <w:spacing w:before="100"/>
              <w:jc w:val="right"/>
              <w:rPr>
                <w:color w:val="000000"/>
                <w:sz w:val="16"/>
                <w:szCs w:val="16"/>
              </w:rPr>
            </w:pPr>
            <w:r>
              <w:rPr>
                <w:color w:val="000000"/>
                <w:sz w:val="16"/>
                <w:lang w:val="bg-BG"/>
              </w:rPr>
              <w:t>3 995</w:t>
            </w:r>
            <w:r w:rsidR="00F173D5">
              <w:rPr>
                <w:color w:val="000000"/>
                <w:sz w:val="16"/>
                <w:lang w:val="bg-BG"/>
              </w:rPr>
              <w:t> 416,03</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E5786A" w14:textId="163F082F" w:rsidR="00235B8B" w:rsidRPr="00894EB3" w:rsidRDefault="00235B8B" w:rsidP="00810A80">
            <w:pPr>
              <w:spacing w:before="100"/>
              <w:jc w:val="right"/>
              <w:rPr>
                <w:color w:val="000000"/>
                <w:sz w:val="16"/>
                <w:szCs w:val="16"/>
                <w:lang w:val="bg-BG"/>
              </w:rPr>
            </w:pPr>
            <w:r>
              <w:rPr>
                <w:color w:val="000000"/>
                <w:sz w:val="16"/>
              </w:rPr>
              <w:t xml:space="preserve">1 </w:t>
            </w:r>
            <w:r w:rsidR="00810A80">
              <w:rPr>
                <w:color w:val="000000"/>
                <w:sz w:val="16"/>
                <w:lang w:val="bg-BG"/>
              </w:rPr>
              <w:t>331 805, 35</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493F72" w14:textId="0B29A0B6" w:rsidR="00235B8B" w:rsidRPr="00894EB3" w:rsidRDefault="00235B8B" w:rsidP="00810A80">
            <w:pPr>
              <w:spacing w:before="100"/>
              <w:jc w:val="right"/>
              <w:rPr>
                <w:color w:val="000000"/>
                <w:sz w:val="16"/>
                <w:szCs w:val="16"/>
                <w:lang w:val="bg-BG"/>
              </w:rPr>
            </w:pPr>
            <w:r>
              <w:rPr>
                <w:color w:val="000000"/>
                <w:sz w:val="16"/>
              </w:rPr>
              <w:t xml:space="preserve">1 </w:t>
            </w:r>
            <w:r w:rsidR="00810A80">
              <w:rPr>
                <w:color w:val="000000"/>
                <w:sz w:val="16"/>
                <w:lang w:val="bg-BG"/>
              </w:rPr>
              <w:t>331 805, 35</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13B016"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71443" w14:textId="57070AFB" w:rsidR="00235B8B" w:rsidRPr="00894EB3" w:rsidRDefault="00235B8B" w:rsidP="00810A80">
            <w:pPr>
              <w:spacing w:before="100"/>
              <w:jc w:val="right"/>
              <w:rPr>
                <w:color w:val="000000"/>
                <w:sz w:val="16"/>
                <w:szCs w:val="16"/>
                <w:lang w:val="bg-BG"/>
              </w:rPr>
            </w:pPr>
            <w:r>
              <w:rPr>
                <w:color w:val="000000"/>
                <w:sz w:val="16"/>
              </w:rPr>
              <w:t xml:space="preserve">5 </w:t>
            </w:r>
            <w:r w:rsidR="00810A80">
              <w:rPr>
                <w:color w:val="000000"/>
                <w:sz w:val="16"/>
                <w:lang w:val="bg-BG"/>
              </w:rPr>
              <w:t>327 221, 38</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B100C5" w14:textId="443D271C" w:rsidR="00235B8B" w:rsidRPr="00DD3B7B" w:rsidRDefault="00235B8B" w:rsidP="00235B8B">
            <w:pPr>
              <w:spacing w:before="100"/>
              <w:jc w:val="right"/>
              <w:rPr>
                <w:color w:val="000000"/>
                <w:sz w:val="16"/>
                <w:szCs w:val="16"/>
              </w:rPr>
            </w:pPr>
            <w:r>
              <w:rPr>
                <w:color w:val="000000"/>
                <w:sz w:val="16"/>
              </w:rPr>
              <w:t>74.9999999</w:t>
            </w:r>
            <w:r w:rsidR="00810A80">
              <w:rPr>
                <w:color w:val="000000"/>
                <w:sz w:val="16"/>
                <w:lang w:val="bg-BG"/>
              </w:rPr>
              <w:t>061</w:t>
            </w:r>
            <w:r>
              <w:rPr>
                <w:color w:val="000000"/>
                <w:sz w:val="16"/>
              </w:rPr>
              <w:t>%</w:t>
            </w:r>
          </w:p>
        </w:tc>
      </w:tr>
      <w:tr w:rsidR="00235B8B" w:rsidRPr="00DD3B7B" w14:paraId="4C499731"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3B7C81" w14:textId="77777777" w:rsidR="00235B8B" w:rsidRPr="00DD3B7B" w:rsidRDefault="00235B8B" w:rsidP="00235B8B">
            <w:pPr>
              <w:spacing w:before="100"/>
              <w:rPr>
                <w:color w:val="000000"/>
                <w:sz w:val="16"/>
                <w:szCs w:val="16"/>
              </w:rPr>
            </w:pPr>
            <w:r w:rsidRPr="00DD3B7B">
              <w:rPr>
                <w:color w:val="000000"/>
                <w:sz w:val="16"/>
                <w:szCs w:val="16"/>
              </w:rPr>
              <w:t>Трансгранично сътрудничество</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2429D9" w14:textId="77777777" w:rsidR="00235B8B" w:rsidRPr="00DD3B7B" w:rsidRDefault="00235B8B" w:rsidP="00235B8B">
            <w:pPr>
              <w:spacing w:before="100"/>
              <w:rPr>
                <w:color w:val="000000"/>
                <w:sz w:val="16"/>
                <w:szCs w:val="16"/>
              </w:rPr>
            </w:pPr>
            <w:r w:rsidRPr="00DD3B7B">
              <w:rPr>
                <w:color w:val="000000"/>
                <w:sz w:val="16"/>
                <w:szCs w:val="16"/>
              </w:rPr>
              <w:t>Действия съгласно Приложение IV</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661A2A" w14:textId="77777777" w:rsidR="00235B8B" w:rsidRPr="00DD3B7B" w:rsidRDefault="00235B8B" w:rsidP="00235B8B">
            <w:pPr>
              <w:spacing w:before="100"/>
              <w:rPr>
                <w:color w:val="000000"/>
                <w:sz w:val="16"/>
                <w:szCs w:val="16"/>
              </w:rPr>
            </w:pPr>
            <w:r w:rsidRPr="00781A14">
              <w:rPr>
                <w:color w:val="000000"/>
                <w:sz w:val="16"/>
                <w:szCs w:val="16"/>
              </w:rPr>
              <w:t>Общо</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0676CE" w14:textId="77777777" w:rsidR="00235B8B" w:rsidRPr="00DD3B7B" w:rsidRDefault="00235B8B" w:rsidP="00235B8B">
            <w:pPr>
              <w:spacing w:before="100"/>
              <w:jc w:val="right"/>
              <w:rPr>
                <w:color w:val="000000"/>
                <w:sz w:val="16"/>
                <w:szCs w:val="16"/>
              </w:rPr>
            </w:pPr>
            <w:r>
              <w:rPr>
                <w:color w:val="000000"/>
                <w:sz w:val="16"/>
              </w:rPr>
              <w:t>54 000,00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08837E" w14:textId="77777777" w:rsidR="00235B8B" w:rsidRPr="00DD3B7B" w:rsidRDefault="00235B8B" w:rsidP="00235B8B">
            <w:pPr>
              <w:spacing w:before="100"/>
              <w:jc w:val="right"/>
              <w:rPr>
                <w:color w:val="000000"/>
                <w:sz w:val="16"/>
                <w:szCs w:val="16"/>
              </w:rPr>
            </w:pPr>
            <w:r>
              <w:rPr>
                <w:color w:val="000000"/>
                <w:sz w:val="16"/>
              </w:rPr>
              <w:t>6000,00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A95DA1" w14:textId="77777777" w:rsidR="00235B8B" w:rsidRPr="00DD3B7B" w:rsidRDefault="00235B8B" w:rsidP="00235B8B">
            <w:pPr>
              <w:spacing w:before="100"/>
              <w:jc w:val="right"/>
              <w:rPr>
                <w:color w:val="000000"/>
                <w:sz w:val="16"/>
                <w:szCs w:val="16"/>
              </w:rPr>
            </w:pPr>
            <w:r>
              <w:rPr>
                <w:color w:val="000000"/>
                <w:sz w:val="16"/>
              </w:rPr>
              <w:t>6000,00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9AFB2"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562111" w14:textId="77777777" w:rsidR="00235B8B" w:rsidRPr="00DD3B7B" w:rsidRDefault="00235B8B" w:rsidP="00235B8B">
            <w:pPr>
              <w:spacing w:before="100"/>
              <w:jc w:val="right"/>
              <w:rPr>
                <w:color w:val="000000"/>
                <w:sz w:val="16"/>
                <w:szCs w:val="16"/>
              </w:rPr>
            </w:pPr>
            <w:r>
              <w:rPr>
                <w:color w:val="000000"/>
                <w:sz w:val="16"/>
              </w:rPr>
              <w:t>60 000,00</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3F8E7A" w14:textId="77777777" w:rsidR="00235B8B" w:rsidRPr="00DD3B7B" w:rsidRDefault="00235B8B" w:rsidP="00235B8B">
            <w:pPr>
              <w:spacing w:before="100"/>
              <w:jc w:val="right"/>
              <w:rPr>
                <w:color w:val="000000"/>
                <w:sz w:val="16"/>
                <w:szCs w:val="16"/>
              </w:rPr>
            </w:pPr>
            <w:r>
              <w:rPr>
                <w:color w:val="000000"/>
                <w:sz w:val="16"/>
              </w:rPr>
              <w:t>90.0000000000%</w:t>
            </w:r>
          </w:p>
        </w:tc>
      </w:tr>
      <w:tr w:rsidR="00235B8B" w:rsidRPr="00DD3B7B" w14:paraId="302C06DC"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3A0778" w14:textId="77777777" w:rsidR="00235B8B" w:rsidRPr="00DD3B7B" w:rsidRDefault="00235B8B" w:rsidP="00235B8B">
            <w:pPr>
              <w:spacing w:before="100"/>
              <w:rPr>
                <w:color w:val="000000"/>
                <w:sz w:val="16"/>
                <w:szCs w:val="16"/>
              </w:rPr>
            </w:pPr>
            <w:r w:rsidRPr="00DD3B7B">
              <w:rPr>
                <w:color w:val="000000"/>
                <w:sz w:val="16"/>
                <w:szCs w:val="16"/>
              </w:rPr>
              <w:t>Трансгранично сътрудничество</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3D6A2C" w14:textId="77777777" w:rsidR="00235B8B" w:rsidRPr="00DD3B7B" w:rsidRDefault="00235B8B" w:rsidP="00235B8B">
            <w:pPr>
              <w:spacing w:before="100"/>
              <w:rPr>
                <w:color w:val="000000"/>
                <w:sz w:val="16"/>
                <w:szCs w:val="16"/>
              </w:rPr>
            </w:pPr>
            <w:r w:rsidRPr="00DD3B7B">
              <w:rPr>
                <w:color w:val="000000"/>
                <w:sz w:val="16"/>
                <w:szCs w:val="16"/>
              </w:rPr>
              <w:t>Оперативна подкрепа</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1F032E" w14:textId="77777777" w:rsidR="00235B8B" w:rsidRPr="00DD3B7B" w:rsidRDefault="00235B8B" w:rsidP="00235B8B">
            <w:pPr>
              <w:spacing w:before="100"/>
              <w:rPr>
                <w:color w:val="000000"/>
                <w:sz w:val="16"/>
                <w:szCs w:val="16"/>
              </w:rPr>
            </w:pPr>
            <w:r w:rsidRPr="00781A14">
              <w:rPr>
                <w:color w:val="000000"/>
                <w:sz w:val="16"/>
                <w:szCs w:val="16"/>
              </w:rPr>
              <w:t>Общо</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C9FCD1"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F49034"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4CF029"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6237E"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C875E" w14:textId="77777777" w:rsidR="00235B8B" w:rsidRPr="00DD3B7B" w:rsidRDefault="00235B8B" w:rsidP="00235B8B">
            <w:pPr>
              <w:spacing w:before="100"/>
              <w:jc w:val="right"/>
              <w:rPr>
                <w:color w:val="000000"/>
                <w:sz w:val="16"/>
                <w:szCs w:val="16"/>
              </w:rPr>
            </w:pPr>
            <w:r>
              <w:rPr>
                <w:color w:val="000000"/>
                <w:sz w:val="16"/>
              </w:rPr>
              <w:t>0,00</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D1FEE2" w14:textId="77777777" w:rsidR="00235B8B" w:rsidRPr="00DD3B7B" w:rsidRDefault="00235B8B" w:rsidP="00235B8B">
            <w:pPr>
              <w:spacing w:before="100"/>
              <w:jc w:val="right"/>
              <w:rPr>
                <w:color w:val="000000"/>
                <w:sz w:val="16"/>
                <w:szCs w:val="16"/>
              </w:rPr>
            </w:pPr>
          </w:p>
        </w:tc>
      </w:tr>
      <w:tr w:rsidR="00235B8B" w:rsidRPr="00DD3B7B" w14:paraId="27B0956B"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0FE8D6" w14:textId="77777777" w:rsidR="00235B8B" w:rsidRPr="00DD3B7B" w:rsidRDefault="00235B8B" w:rsidP="00235B8B">
            <w:pPr>
              <w:spacing w:before="100"/>
              <w:rPr>
                <w:color w:val="000000"/>
                <w:sz w:val="16"/>
                <w:szCs w:val="16"/>
              </w:rPr>
            </w:pPr>
            <w:r w:rsidRPr="00DD3B7B">
              <w:rPr>
                <w:color w:val="000000"/>
                <w:sz w:val="16"/>
                <w:szCs w:val="16"/>
              </w:rPr>
              <w:t>Трансгранично сътрудничество</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641517" w14:textId="77777777" w:rsidR="00235B8B" w:rsidRPr="00DD3B7B" w:rsidRDefault="00235B8B" w:rsidP="00235B8B">
            <w:pPr>
              <w:spacing w:before="100"/>
              <w:rPr>
                <w:color w:val="000000"/>
                <w:sz w:val="16"/>
                <w:szCs w:val="16"/>
              </w:rPr>
            </w:pPr>
            <w:r w:rsidRPr="00DD3B7B">
              <w:rPr>
                <w:color w:val="000000"/>
                <w:sz w:val="16"/>
                <w:szCs w:val="16"/>
              </w:rPr>
              <w:t>Специфично действие</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89C170" w14:textId="77777777" w:rsidR="00235B8B" w:rsidRPr="00DD3B7B" w:rsidRDefault="00235B8B" w:rsidP="00235B8B">
            <w:pPr>
              <w:spacing w:before="100"/>
              <w:rPr>
                <w:color w:val="000000"/>
                <w:sz w:val="16"/>
                <w:szCs w:val="16"/>
              </w:rPr>
            </w:pPr>
            <w:r w:rsidRPr="00781A14">
              <w:rPr>
                <w:color w:val="000000"/>
                <w:sz w:val="16"/>
                <w:szCs w:val="16"/>
              </w:rPr>
              <w:t>Общо</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CEB45E" w14:textId="77777777" w:rsidR="00235B8B" w:rsidRPr="00DD3B7B" w:rsidRDefault="00235B8B" w:rsidP="00235B8B">
            <w:pPr>
              <w:spacing w:before="100"/>
              <w:jc w:val="right"/>
              <w:rPr>
                <w:color w:val="000000"/>
                <w:sz w:val="16"/>
                <w:szCs w:val="16"/>
              </w:rPr>
            </w:pPr>
            <w:r>
              <w:rPr>
                <w:color w:val="000000"/>
                <w:sz w:val="16"/>
              </w:rPr>
              <w:t>450 000,00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EA22FC" w14:textId="77777777" w:rsidR="00235B8B" w:rsidRPr="00DD3B7B" w:rsidRDefault="00235B8B" w:rsidP="00235B8B">
            <w:pPr>
              <w:spacing w:before="100"/>
              <w:jc w:val="right"/>
              <w:rPr>
                <w:color w:val="000000"/>
                <w:sz w:val="16"/>
                <w:szCs w:val="16"/>
              </w:rPr>
            </w:pPr>
            <w:r>
              <w:rPr>
                <w:color w:val="000000"/>
                <w:sz w:val="16"/>
              </w:rPr>
              <w:t>150 000,00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4CF729" w14:textId="77777777" w:rsidR="00235B8B" w:rsidRPr="00DD3B7B" w:rsidRDefault="00235B8B" w:rsidP="00235B8B">
            <w:pPr>
              <w:spacing w:before="100"/>
              <w:jc w:val="right"/>
              <w:rPr>
                <w:color w:val="000000"/>
                <w:sz w:val="16"/>
                <w:szCs w:val="16"/>
              </w:rPr>
            </w:pPr>
            <w:r>
              <w:rPr>
                <w:color w:val="000000"/>
                <w:sz w:val="16"/>
              </w:rPr>
              <w:t>150 000,00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B2C306"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F0A2EF" w14:textId="77777777" w:rsidR="00235B8B" w:rsidRPr="00DD3B7B" w:rsidRDefault="00235B8B" w:rsidP="00235B8B">
            <w:pPr>
              <w:spacing w:before="100"/>
              <w:jc w:val="right"/>
              <w:rPr>
                <w:color w:val="000000"/>
                <w:sz w:val="16"/>
                <w:szCs w:val="16"/>
              </w:rPr>
            </w:pPr>
            <w:r>
              <w:rPr>
                <w:color w:val="000000"/>
                <w:sz w:val="16"/>
              </w:rPr>
              <w:t>600 000,00</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A777EE" w14:textId="79123489" w:rsidR="00235B8B" w:rsidRPr="00DD3B7B" w:rsidRDefault="00235B8B" w:rsidP="00CA4033">
            <w:pPr>
              <w:spacing w:before="100"/>
              <w:jc w:val="right"/>
              <w:rPr>
                <w:color w:val="000000"/>
                <w:sz w:val="16"/>
                <w:szCs w:val="16"/>
              </w:rPr>
            </w:pPr>
            <w:r>
              <w:rPr>
                <w:color w:val="000000"/>
                <w:sz w:val="16"/>
              </w:rPr>
              <w:t>75.</w:t>
            </w:r>
            <w:r w:rsidR="00CA4033">
              <w:rPr>
                <w:color w:val="000000"/>
                <w:sz w:val="16"/>
                <w:lang w:val="bg-BG"/>
              </w:rPr>
              <w:t>1503200638</w:t>
            </w:r>
            <w:r>
              <w:rPr>
                <w:color w:val="000000"/>
                <w:sz w:val="16"/>
              </w:rPr>
              <w:t>%</w:t>
            </w:r>
          </w:p>
        </w:tc>
      </w:tr>
      <w:tr w:rsidR="00235B8B" w:rsidRPr="00DD3B7B" w14:paraId="6C653E23"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60E6F0" w14:textId="77777777" w:rsidR="00235B8B" w:rsidRPr="00DD3B7B" w:rsidRDefault="00235B8B" w:rsidP="00235B8B">
            <w:pPr>
              <w:spacing w:before="100"/>
              <w:rPr>
                <w:color w:val="000000"/>
                <w:sz w:val="16"/>
                <w:szCs w:val="16"/>
              </w:rPr>
            </w:pPr>
            <w:r w:rsidRPr="00DD3B7B">
              <w:rPr>
                <w:color w:val="000000"/>
                <w:sz w:val="16"/>
                <w:szCs w:val="16"/>
              </w:rPr>
              <w:t>Общо за Трансгранично сътрудничество</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886073" w14:textId="77777777" w:rsidR="00235B8B" w:rsidRPr="00DD3B7B" w:rsidRDefault="00235B8B" w:rsidP="00235B8B">
            <w:pPr>
              <w:spacing w:before="100"/>
              <w:rPr>
                <w:color w:val="000000"/>
                <w:sz w:val="16"/>
                <w:szCs w:val="16"/>
              </w:rPr>
            </w:pP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E8FEC2" w14:textId="77777777" w:rsidR="00235B8B" w:rsidRPr="00DD3B7B" w:rsidRDefault="00235B8B" w:rsidP="00235B8B">
            <w:pPr>
              <w:spacing w:before="100"/>
              <w:rPr>
                <w:color w:val="000000"/>
                <w:sz w:val="16"/>
                <w:szCs w:val="16"/>
              </w:rPr>
            </w:pPr>
            <w:r w:rsidRPr="00781A14">
              <w:rPr>
                <w:color w:val="000000"/>
                <w:sz w:val="16"/>
                <w:szCs w:val="16"/>
              </w:rPr>
              <w:t>Общо</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82305D" w14:textId="4A766407" w:rsidR="00235B8B" w:rsidRPr="00894EB3" w:rsidRDefault="00F173D5" w:rsidP="00235B8B">
            <w:pPr>
              <w:spacing w:before="100"/>
              <w:jc w:val="right"/>
              <w:rPr>
                <w:color w:val="000000"/>
                <w:sz w:val="16"/>
                <w:szCs w:val="16"/>
                <w:lang w:val="bg-BG"/>
              </w:rPr>
            </w:pPr>
            <w:r>
              <w:rPr>
                <w:color w:val="000000"/>
                <w:sz w:val="16"/>
                <w:lang w:val="bg-BG"/>
              </w:rPr>
              <w:t>499 416, 03</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866275" w14:textId="3AE84EEA" w:rsidR="00235B8B" w:rsidRPr="00894EB3" w:rsidRDefault="00235B8B" w:rsidP="004248FD">
            <w:pPr>
              <w:spacing w:before="100"/>
              <w:jc w:val="right"/>
              <w:rPr>
                <w:color w:val="000000"/>
                <w:sz w:val="16"/>
                <w:szCs w:val="16"/>
                <w:lang w:val="bg-BG"/>
              </w:rPr>
            </w:pPr>
            <w:r>
              <w:rPr>
                <w:color w:val="000000"/>
                <w:sz w:val="16"/>
              </w:rPr>
              <w:t xml:space="preserve">1 </w:t>
            </w:r>
            <w:r w:rsidR="004248FD">
              <w:rPr>
                <w:color w:val="000000"/>
                <w:sz w:val="16"/>
                <w:lang w:val="bg-BG"/>
              </w:rPr>
              <w:t>487 805, 35</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7C1A51" w14:textId="7D282FD6" w:rsidR="00235B8B" w:rsidRPr="00894EB3" w:rsidRDefault="00235B8B" w:rsidP="004248FD">
            <w:pPr>
              <w:spacing w:before="100"/>
              <w:jc w:val="right"/>
              <w:rPr>
                <w:color w:val="000000"/>
                <w:sz w:val="16"/>
                <w:szCs w:val="16"/>
                <w:lang w:val="bg-BG"/>
              </w:rPr>
            </w:pPr>
            <w:r>
              <w:rPr>
                <w:color w:val="000000"/>
                <w:sz w:val="16"/>
              </w:rPr>
              <w:t xml:space="preserve">1 </w:t>
            </w:r>
            <w:r w:rsidR="004248FD">
              <w:rPr>
                <w:color w:val="000000"/>
                <w:sz w:val="16"/>
                <w:lang w:val="bg-BG"/>
              </w:rPr>
              <w:t>487 805, 35</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A59E9"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281A3C" w14:textId="09C013DD" w:rsidR="00235B8B" w:rsidRPr="00894EB3" w:rsidRDefault="00CA4033" w:rsidP="00235B8B">
            <w:pPr>
              <w:spacing w:before="100"/>
              <w:jc w:val="right"/>
              <w:rPr>
                <w:color w:val="000000"/>
                <w:sz w:val="16"/>
                <w:szCs w:val="16"/>
                <w:lang w:val="bg-BG"/>
              </w:rPr>
            </w:pPr>
            <w:r>
              <w:rPr>
                <w:color w:val="000000"/>
                <w:sz w:val="16"/>
                <w:lang w:val="bg-BG"/>
              </w:rPr>
              <w:t>5 987 221, 38</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833A6D" w14:textId="28C6C726" w:rsidR="00235B8B" w:rsidRPr="00DD3B7B" w:rsidRDefault="00235B8B" w:rsidP="00CA4033">
            <w:pPr>
              <w:spacing w:before="100"/>
              <w:jc w:val="right"/>
              <w:rPr>
                <w:color w:val="000000"/>
                <w:sz w:val="16"/>
                <w:szCs w:val="16"/>
              </w:rPr>
            </w:pPr>
            <w:r>
              <w:rPr>
                <w:color w:val="000000"/>
                <w:sz w:val="16"/>
              </w:rPr>
              <w:t>7</w:t>
            </w:r>
            <w:r w:rsidR="00CA4033">
              <w:rPr>
                <w:color w:val="000000"/>
                <w:sz w:val="16"/>
                <w:lang w:val="bg-BG"/>
              </w:rPr>
              <w:t>49999999794</w:t>
            </w:r>
            <w:r>
              <w:rPr>
                <w:color w:val="000000"/>
                <w:sz w:val="16"/>
              </w:rPr>
              <w:t>%</w:t>
            </w:r>
          </w:p>
        </w:tc>
      </w:tr>
      <w:tr w:rsidR="00235B8B" w:rsidRPr="00DD3B7B" w14:paraId="6E3237E3"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0DBD0E" w14:textId="77777777" w:rsidR="00235B8B" w:rsidRPr="00DD3B7B" w:rsidRDefault="00235B8B" w:rsidP="00235B8B">
            <w:pPr>
              <w:spacing w:before="100"/>
              <w:rPr>
                <w:color w:val="000000"/>
                <w:sz w:val="16"/>
                <w:szCs w:val="16"/>
              </w:rPr>
            </w:pPr>
            <w:r w:rsidRPr="00DD3B7B">
              <w:rPr>
                <w:color w:val="000000"/>
                <w:sz w:val="16"/>
                <w:szCs w:val="16"/>
              </w:rPr>
              <w:t>Предотвратяване и борба с престъпността</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1A6AC6" w14:textId="77777777" w:rsidR="00235B8B" w:rsidRPr="00DD3B7B" w:rsidRDefault="00235B8B" w:rsidP="00235B8B">
            <w:pPr>
              <w:spacing w:before="100"/>
              <w:rPr>
                <w:color w:val="000000"/>
                <w:sz w:val="16"/>
                <w:szCs w:val="16"/>
              </w:rPr>
            </w:pPr>
            <w:r w:rsidRPr="00DD3B7B">
              <w:rPr>
                <w:color w:val="000000"/>
                <w:sz w:val="16"/>
                <w:szCs w:val="16"/>
              </w:rPr>
              <w:t>Стандартни дейности</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7EF99C" w14:textId="77777777" w:rsidR="00235B8B" w:rsidRPr="00DD3B7B" w:rsidRDefault="00235B8B" w:rsidP="00235B8B">
            <w:pPr>
              <w:spacing w:before="100"/>
              <w:rPr>
                <w:color w:val="000000"/>
                <w:sz w:val="16"/>
                <w:szCs w:val="16"/>
              </w:rPr>
            </w:pPr>
            <w:r w:rsidRPr="00781A14">
              <w:rPr>
                <w:color w:val="000000"/>
                <w:sz w:val="16"/>
                <w:szCs w:val="16"/>
              </w:rPr>
              <w:t>Общо</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3AB1AE" w14:textId="6CD2C9AE" w:rsidR="00235B8B" w:rsidRPr="00894EB3" w:rsidRDefault="00F173D5" w:rsidP="00235B8B">
            <w:pPr>
              <w:spacing w:before="100"/>
              <w:jc w:val="right"/>
              <w:rPr>
                <w:color w:val="000000"/>
                <w:sz w:val="16"/>
                <w:szCs w:val="16"/>
                <w:lang w:val="bg-BG"/>
              </w:rPr>
            </w:pPr>
            <w:r>
              <w:rPr>
                <w:color w:val="000000"/>
                <w:sz w:val="16"/>
                <w:lang w:val="bg-BG"/>
              </w:rPr>
              <w:t>18 246 082, 63</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645DD7" w14:textId="3770C6DD" w:rsidR="004847C7" w:rsidRDefault="004847C7" w:rsidP="004847C7">
            <w:pPr>
              <w:pStyle w:val="Default"/>
              <w:jc w:val="right"/>
              <w:rPr>
                <w:sz w:val="16"/>
                <w:szCs w:val="16"/>
              </w:rPr>
            </w:pPr>
            <w:r>
              <w:rPr>
                <w:color w:val="B5082D"/>
                <w:sz w:val="16"/>
                <w:szCs w:val="16"/>
              </w:rPr>
              <w:t xml:space="preserve">6,082,027.55 </w:t>
            </w:r>
          </w:p>
          <w:p w14:paraId="15BF6284" w14:textId="6D8FFFFC" w:rsidR="00235B8B" w:rsidRPr="00DD3B7B" w:rsidRDefault="00235B8B" w:rsidP="00235B8B">
            <w:pPr>
              <w:spacing w:before="100"/>
              <w:jc w:val="right"/>
              <w:rPr>
                <w:color w:val="000000"/>
                <w:sz w:val="16"/>
                <w:szCs w:val="16"/>
              </w:rPr>
            </w:pP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63683" w14:textId="5FBFBE99" w:rsidR="004847C7" w:rsidRDefault="004847C7" w:rsidP="00235B8B">
            <w:pPr>
              <w:spacing w:before="100"/>
              <w:jc w:val="right"/>
              <w:rPr>
                <w:color w:val="000000"/>
                <w:sz w:val="16"/>
              </w:rPr>
            </w:pPr>
            <w:r w:rsidRPr="004847C7">
              <w:rPr>
                <w:color w:val="000000"/>
                <w:sz w:val="16"/>
              </w:rPr>
              <w:t>6,082,027.55</w:t>
            </w:r>
          </w:p>
          <w:p w14:paraId="6A3310A2" w14:textId="485C566A" w:rsidR="00235B8B" w:rsidRPr="00DD3B7B" w:rsidRDefault="00235B8B" w:rsidP="00235B8B">
            <w:pPr>
              <w:spacing w:before="100"/>
              <w:jc w:val="right"/>
              <w:rPr>
                <w:color w:val="000000"/>
                <w:sz w:val="16"/>
                <w:szCs w:val="16"/>
              </w:rPr>
            </w:pP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11F6E9"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3A1D3E" w14:textId="196C01B1" w:rsidR="00235B8B" w:rsidRPr="00894EB3" w:rsidRDefault="00CA4033" w:rsidP="00235B8B">
            <w:pPr>
              <w:spacing w:before="100"/>
              <w:jc w:val="right"/>
              <w:rPr>
                <w:color w:val="000000"/>
                <w:sz w:val="16"/>
                <w:szCs w:val="16"/>
                <w:lang w:val="bg-BG"/>
              </w:rPr>
            </w:pPr>
            <w:r>
              <w:rPr>
                <w:color w:val="000000"/>
                <w:sz w:val="16"/>
                <w:lang w:val="bg-BG"/>
              </w:rPr>
              <w:t>24 328 110, 18</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8089C5" w14:textId="77777777" w:rsidR="00235B8B" w:rsidRPr="00DD3B7B" w:rsidRDefault="00235B8B" w:rsidP="00235B8B">
            <w:pPr>
              <w:spacing w:before="100"/>
              <w:jc w:val="right"/>
              <w:rPr>
                <w:color w:val="000000"/>
                <w:sz w:val="16"/>
                <w:szCs w:val="16"/>
              </w:rPr>
            </w:pPr>
            <w:r>
              <w:rPr>
                <w:color w:val="000000"/>
                <w:sz w:val="16"/>
              </w:rPr>
              <w:t>75.0000000085%</w:t>
            </w:r>
          </w:p>
        </w:tc>
      </w:tr>
      <w:tr w:rsidR="00235B8B" w:rsidRPr="00DD3B7B" w14:paraId="033C7DF8"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96E838" w14:textId="77777777" w:rsidR="00235B8B" w:rsidRPr="00DD3B7B" w:rsidRDefault="00235B8B" w:rsidP="00235B8B">
            <w:pPr>
              <w:spacing w:before="100"/>
              <w:rPr>
                <w:color w:val="000000"/>
                <w:sz w:val="16"/>
                <w:szCs w:val="16"/>
              </w:rPr>
            </w:pPr>
            <w:r w:rsidRPr="00DD3B7B">
              <w:rPr>
                <w:color w:val="000000"/>
                <w:sz w:val="16"/>
                <w:szCs w:val="16"/>
              </w:rPr>
              <w:t>Предотвратяване и борба с престъпността</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575D6D" w14:textId="77777777" w:rsidR="00235B8B" w:rsidRPr="00DD3B7B" w:rsidRDefault="00235B8B" w:rsidP="00235B8B">
            <w:pPr>
              <w:spacing w:before="100"/>
              <w:rPr>
                <w:color w:val="000000"/>
                <w:sz w:val="16"/>
                <w:szCs w:val="16"/>
              </w:rPr>
            </w:pPr>
            <w:r w:rsidRPr="00DD3B7B">
              <w:rPr>
                <w:color w:val="000000"/>
                <w:sz w:val="16"/>
                <w:szCs w:val="16"/>
              </w:rPr>
              <w:t xml:space="preserve">Действия съгласно Приложение IV </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A7D11A" w14:textId="77777777" w:rsidR="00235B8B" w:rsidRPr="00DD3B7B" w:rsidRDefault="00235B8B" w:rsidP="00235B8B">
            <w:pPr>
              <w:spacing w:before="100"/>
              <w:rPr>
                <w:color w:val="000000"/>
                <w:sz w:val="16"/>
                <w:szCs w:val="16"/>
              </w:rPr>
            </w:pPr>
            <w:r w:rsidRPr="00781A14">
              <w:rPr>
                <w:color w:val="000000"/>
                <w:sz w:val="16"/>
                <w:szCs w:val="16"/>
              </w:rPr>
              <w:t>Общо</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0D9641" w14:textId="77777777" w:rsidR="00235B8B" w:rsidRPr="00DD3B7B" w:rsidRDefault="00235B8B" w:rsidP="00235B8B">
            <w:pPr>
              <w:spacing w:before="100"/>
              <w:jc w:val="right"/>
              <w:rPr>
                <w:color w:val="000000"/>
                <w:sz w:val="16"/>
                <w:szCs w:val="16"/>
              </w:rPr>
            </w:pPr>
            <w:r>
              <w:rPr>
                <w:color w:val="000000"/>
                <w:sz w:val="16"/>
              </w:rPr>
              <w:t>81 161,73</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4A2436" w14:textId="77777777" w:rsidR="00235B8B" w:rsidRPr="00DD3B7B" w:rsidRDefault="00235B8B" w:rsidP="00235B8B">
            <w:pPr>
              <w:spacing w:before="100"/>
              <w:jc w:val="right"/>
              <w:rPr>
                <w:color w:val="000000"/>
                <w:sz w:val="16"/>
                <w:szCs w:val="16"/>
              </w:rPr>
            </w:pPr>
            <w:r>
              <w:rPr>
                <w:color w:val="000000"/>
                <w:sz w:val="16"/>
              </w:rPr>
              <w:t>9017,97</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5C1B56" w14:textId="77777777" w:rsidR="00235B8B" w:rsidRPr="00DD3B7B" w:rsidRDefault="00235B8B" w:rsidP="00235B8B">
            <w:pPr>
              <w:spacing w:before="100"/>
              <w:jc w:val="right"/>
              <w:rPr>
                <w:color w:val="000000"/>
                <w:sz w:val="16"/>
                <w:szCs w:val="16"/>
              </w:rPr>
            </w:pPr>
            <w:r>
              <w:rPr>
                <w:color w:val="000000"/>
                <w:sz w:val="16"/>
              </w:rPr>
              <w:t>9017,97</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918569"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7FECF" w14:textId="77777777" w:rsidR="00235B8B" w:rsidRPr="00DD3B7B" w:rsidRDefault="00235B8B" w:rsidP="00235B8B">
            <w:pPr>
              <w:spacing w:before="100"/>
              <w:jc w:val="right"/>
              <w:rPr>
                <w:color w:val="000000"/>
                <w:sz w:val="16"/>
                <w:szCs w:val="16"/>
              </w:rPr>
            </w:pPr>
            <w:r>
              <w:rPr>
                <w:color w:val="000000"/>
                <w:sz w:val="16"/>
              </w:rPr>
              <w:t>90 179,70</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B73A19" w14:textId="77777777" w:rsidR="00235B8B" w:rsidRPr="00DD3B7B" w:rsidRDefault="00235B8B" w:rsidP="00235B8B">
            <w:pPr>
              <w:spacing w:before="100"/>
              <w:jc w:val="right"/>
              <w:rPr>
                <w:color w:val="000000"/>
                <w:sz w:val="16"/>
                <w:szCs w:val="16"/>
              </w:rPr>
            </w:pPr>
            <w:r>
              <w:rPr>
                <w:color w:val="000000"/>
                <w:sz w:val="16"/>
              </w:rPr>
              <w:t>90.0000000000%</w:t>
            </w:r>
          </w:p>
        </w:tc>
      </w:tr>
      <w:tr w:rsidR="00235B8B" w:rsidRPr="00DD3B7B" w14:paraId="13C85099"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B93F00" w14:textId="77777777" w:rsidR="00235B8B" w:rsidRPr="00DD3B7B" w:rsidRDefault="00235B8B" w:rsidP="00235B8B">
            <w:pPr>
              <w:spacing w:before="100"/>
              <w:rPr>
                <w:color w:val="000000"/>
                <w:sz w:val="16"/>
                <w:szCs w:val="16"/>
              </w:rPr>
            </w:pPr>
            <w:r w:rsidRPr="00DD3B7B">
              <w:rPr>
                <w:color w:val="000000"/>
                <w:sz w:val="16"/>
                <w:szCs w:val="16"/>
              </w:rPr>
              <w:t>Предотвратяване и борба с престъпността</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B2CDC6" w14:textId="77777777" w:rsidR="00235B8B" w:rsidRPr="00DD3B7B" w:rsidRDefault="00235B8B" w:rsidP="00235B8B">
            <w:pPr>
              <w:spacing w:before="100"/>
              <w:rPr>
                <w:color w:val="000000"/>
                <w:sz w:val="16"/>
                <w:szCs w:val="16"/>
              </w:rPr>
            </w:pPr>
            <w:r w:rsidRPr="00DD3B7B">
              <w:rPr>
                <w:color w:val="000000"/>
                <w:sz w:val="16"/>
                <w:szCs w:val="16"/>
              </w:rPr>
              <w:t>Оперативна подкрепа</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8D0F8F" w14:textId="77777777" w:rsidR="00235B8B" w:rsidRPr="00DD3B7B" w:rsidRDefault="00235B8B" w:rsidP="00235B8B">
            <w:pPr>
              <w:spacing w:before="100"/>
              <w:rPr>
                <w:color w:val="000000"/>
                <w:sz w:val="16"/>
                <w:szCs w:val="16"/>
              </w:rPr>
            </w:pPr>
            <w:r w:rsidRPr="00781A14">
              <w:rPr>
                <w:color w:val="000000"/>
                <w:sz w:val="16"/>
                <w:szCs w:val="16"/>
              </w:rPr>
              <w:t>Общо</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9A8046"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37AE10"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1D565F"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873F56"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9586A4" w14:textId="77777777" w:rsidR="00235B8B" w:rsidRPr="00DD3B7B" w:rsidRDefault="00235B8B" w:rsidP="00235B8B">
            <w:pPr>
              <w:spacing w:before="100"/>
              <w:jc w:val="right"/>
              <w:rPr>
                <w:color w:val="000000"/>
                <w:sz w:val="16"/>
                <w:szCs w:val="16"/>
              </w:rPr>
            </w:pPr>
            <w:r>
              <w:rPr>
                <w:color w:val="000000"/>
                <w:sz w:val="16"/>
              </w:rPr>
              <w:t>0,00</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5B3335" w14:textId="77777777" w:rsidR="00235B8B" w:rsidRPr="00DD3B7B" w:rsidRDefault="00235B8B" w:rsidP="00235B8B">
            <w:pPr>
              <w:spacing w:before="100"/>
              <w:jc w:val="right"/>
              <w:rPr>
                <w:color w:val="000000"/>
                <w:sz w:val="16"/>
                <w:szCs w:val="16"/>
              </w:rPr>
            </w:pPr>
          </w:p>
        </w:tc>
      </w:tr>
      <w:tr w:rsidR="00235B8B" w:rsidRPr="00DD3B7B" w14:paraId="75F6CAB4"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C8B6FB" w14:textId="77777777" w:rsidR="00235B8B" w:rsidRPr="00DD3B7B" w:rsidRDefault="00235B8B" w:rsidP="00235B8B">
            <w:pPr>
              <w:spacing w:before="100"/>
              <w:rPr>
                <w:color w:val="000000"/>
                <w:sz w:val="16"/>
                <w:szCs w:val="16"/>
              </w:rPr>
            </w:pPr>
            <w:r w:rsidRPr="00DD3B7B">
              <w:rPr>
                <w:color w:val="000000"/>
                <w:sz w:val="16"/>
                <w:szCs w:val="16"/>
              </w:rPr>
              <w:t>Предотвратяване и борба с престъпността</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2073E7" w14:textId="77777777" w:rsidR="00235B8B" w:rsidRPr="00DD3B7B" w:rsidRDefault="00235B8B" w:rsidP="00235B8B">
            <w:pPr>
              <w:spacing w:before="100"/>
              <w:rPr>
                <w:color w:val="000000"/>
                <w:sz w:val="16"/>
                <w:szCs w:val="16"/>
              </w:rPr>
            </w:pPr>
            <w:r w:rsidRPr="00DD3B7B">
              <w:rPr>
                <w:color w:val="000000"/>
                <w:sz w:val="16"/>
                <w:szCs w:val="16"/>
              </w:rPr>
              <w:t>Специфично действие</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0B5204" w14:textId="77777777" w:rsidR="00235B8B" w:rsidRPr="00DD3B7B" w:rsidRDefault="00235B8B" w:rsidP="00235B8B">
            <w:pPr>
              <w:spacing w:before="100"/>
              <w:rPr>
                <w:color w:val="000000"/>
                <w:sz w:val="16"/>
                <w:szCs w:val="16"/>
              </w:rPr>
            </w:pPr>
            <w:r w:rsidRPr="00781A14">
              <w:rPr>
                <w:color w:val="000000"/>
                <w:sz w:val="16"/>
                <w:szCs w:val="16"/>
              </w:rPr>
              <w:t>Общо</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5628E9" w14:textId="77777777" w:rsidR="00235B8B" w:rsidRPr="00DD3B7B" w:rsidRDefault="00235B8B" w:rsidP="00235B8B">
            <w:pPr>
              <w:spacing w:before="100"/>
              <w:jc w:val="right"/>
              <w:rPr>
                <w:color w:val="000000"/>
                <w:sz w:val="16"/>
                <w:szCs w:val="16"/>
              </w:rPr>
            </w:pPr>
            <w:r>
              <w:rPr>
                <w:color w:val="000000"/>
                <w:sz w:val="16"/>
              </w:rPr>
              <w:t>1 425 937,50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6C5B19" w14:textId="77777777" w:rsidR="00235B8B" w:rsidRPr="00DD3B7B" w:rsidRDefault="00235B8B" w:rsidP="00235B8B">
            <w:pPr>
              <w:spacing w:before="100"/>
              <w:jc w:val="right"/>
              <w:rPr>
                <w:color w:val="000000"/>
                <w:sz w:val="16"/>
                <w:szCs w:val="16"/>
              </w:rPr>
            </w:pPr>
            <w:r>
              <w:rPr>
                <w:color w:val="000000"/>
                <w:sz w:val="16"/>
              </w:rPr>
              <w:t>475 312,50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EF8981" w14:textId="77777777" w:rsidR="00235B8B" w:rsidRPr="00DD3B7B" w:rsidRDefault="00235B8B" w:rsidP="00235B8B">
            <w:pPr>
              <w:spacing w:before="100"/>
              <w:jc w:val="right"/>
              <w:rPr>
                <w:color w:val="000000"/>
                <w:sz w:val="16"/>
                <w:szCs w:val="16"/>
              </w:rPr>
            </w:pPr>
            <w:r>
              <w:rPr>
                <w:color w:val="000000"/>
                <w:sz w:val="16"/>
              </w:rPr>
              <w:t>475 312,50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7ACEE9"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60B18F" w14:textId="77777777" w:rsidR="00235B8B" w:rsidRPr="00DD3B7B" w:rsidRDefault="00235B8B" w:rsidP="00235B8B">
            <w:pPr>
              <w:spacing w:before="100"/>
              <w:jc w:val="right"/>
              <w:rPr>
                <w:color w:val="000000"/>
                <w:sz w:val="16"/>
                <w:szCs w:val="16"/>
              </w:rPr>
            </w:pPr>
            <w:r>
              <w:rPr>
                <w:color w:val="000000"/>
                <w:sz w:val="16"/>
              </w:rPr>
              <w:t>1 901 250,00</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88B0E2" w14:textId="77777777" w:rsidR="00235B8B" w:rsidRPr="00DD3B7B" w:rsidRDefault="00235B8B" w:rsidP="00235B8B">
            <w:pPr>
              <w:spacing w:before="100"/>
              <w:jc w:val="right"/>
              <w:rPr>
                <w:color w:val="000000"/>
                <w:sz w:val="16"/>
                <w:szCs w:val="16"/>
              </w:rPr>
            </w:pPr>
            <w:r>
              <w:rPr>
                <w:color w:val="000000"/>
                <w:sz w:val="16"/>
              </w:rPr>
              <w:t>75.0000000000%</w:t>
            </w:r>
          </w:p>
        </w:tc>
      </w:tr>
      <w:tr w:rsidR="00235B8B" w:rsidRPr="00DD3B7B" w14:paraId="6629B805"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CB5E4B" w14:textId="77777777" w:rsidR="00235B8B" w:rsidRPr="00DD3B7B" w:rsidRDefault="00235B8B" w:rsidP="00235B8B">
            <w:pPr>
              <w:spacing w:before="100"/>
              <w:rPr>
                <w:color w:val="000000"/>
                <w:sz w:val="16"/>
                <w:szCs w:val="16"/>
              </w:rPr>
            </w:pPr>
            <w:r w:rsidRPr="00DD3B7B">
              <w:rPr>
                <w:sz w:val="16"/>
                <w:szCs w:val="16"/>
              </w:rPr>
              <w:t>Общо за Предотвратяване и борба с престъпността</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ED234F" w14:textId="77777777" w:rsidR="00235B8B" w:rsidRPr="00DD3B7B" w:rsidRDefault="00235B8B" w:rsidP="00235B8B">
            <w:pPr>
              <w:spacing w:before="100"/>
              <w:rPr>
                <w:color w:val="000000"/>
                <w:sz w:val="16"/>
                <w:szCs w:val="16"/>
              </w:rPr>
            </w:pP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707326" w14:textId="77777777" w:rsidR="00235B8B" w:rsidRPr="00DD3B7B" w:rsidRDefault="00235B8B" w:rsidP="00235B8B">
            <w:pPr>
              <w:spacing w:before="100"/>
              <w:rPr>
                <w:color w:val="000000"/>
                <w:sz w:val="16"/>
                <w:szCs w:val="16"/>
              </w:rPr>
            </w:pP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FE76E9" w14:textId="5F89AD54" w:rsidR="00235B8B" w:rsidRPr="00894EB3" w:rsidRDefault="00F173D5" w:rsidP="00235B8B">
            <w:pPr>
              <w:spacing w:before="100"/>
              <w:jc w:val="right"/>
              <w:rPr>
                <w:color w:val="000000"/>
                <w:sz w:val="16"/>
                <w:szCs w:val="16"/>
                <w:lang w:val="bg-BG"/>
              </w:rPr>
            </w:pPr>
            <w:r>
              <w:rPr>
                <w:color w:val="000000"/>
                <w:sz w:val="16"/>
                <w:lang w:val="bg-BG"/>
              </w:rPr>
              <w:t>19 753 181, 86</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249718" w14:textId="3FCB5B0A" w:rsidR="00235B8B" w:rsidRPr="00894EB3" w:rsidRDefault="00ED0318" w:rsidP="00235B8B">
            <w:pPr>
              <w:spacing w:before="100"/>
              <w:jc w:val="right"/>
              <w:rPr>
                <w:color w:val="000000"/>
                <w:sz w:val="16"/>
                <w:szCs w:val="16"/>
                <w:lang w:val="bg-BG"/>
              </w:rPr>
            </w:pPr>
            <w:r>
              <w:rPr>
                <w:color w:val="000000"/>
                <w:sz w:val="16"/>
                <w:lang w:val="bg-BG"/>
              </w:rPr>
              <w:t>6 566 358, 02</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C55461" w14:textId="77705B35" w:rsidR="00235B8B" w:rsidRPr="00894EB3" w:rsidRDefault="00CA4033" w:rsidP="00235B8B">
            <w:pPr>
              <w:spacing w:before="100"/>
              <w:jc w:val="right"/>
              <w:rPr>
                <w:color w:val="000000"/>
                <w:sz w:val="16"/>
                <w:szCs w:val="16"/>
                <w:lang w:val="bg-BG"/>
              </w:rPr>
            </w:pPr>
            <w:r>
              <w:rPr>
                <w:color w:val="000000"/>
                <w:sz w:val="16"/>
                <w:lang w:val="bg-BG"/>
              </w:rPr>
              <w:t>6 566 358, 02</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42CCD9"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B9A933" w14:textId="2C67F285" w:rsidR="00235B8B" w:rsidRPr="00894EB3" w:rsidRDefault="00CA4033" w:rsidP="00235B8B">
            <w:pPr>
              <w:spacing w:before="100"/>
              <w:jc w:val="right"/>
              <w:rPr>
                <w:color w:val="000000"/>
                <w:sz w:val="16"/>
                <w:szCs w:val="16"/>
                <w:lang w:val="bg-BG"/>
              </w:rPr>
            </w:pPr>
            <w:r>
              <w:rPr>
                <w:color w:val="000000"/>
                <w:sz w:val="16"/>
                <w:lang w:val="bg-BG"/>
              </w:rPr>
              <w:t>26 319 539</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9CF9D9" w14:textId="2ACFB24F" w:rsidR="00235B8B" w:rsidRPr="00DD3B7B" w:rsidRDefault="00235B8B" w:rsidP="00CA4033">
            <w:pPr>
              <w:spacing w:before="100"/>
              <w:jc w:val="right"/>
              <w:rPr>
                <w:color w:val="000000"/>
                <w:sz w:val="16"/>
                <w:szCs w:val="16"/>
              </w:rPr>
            </w:pPr>
            <w:r>
              <w:rPr>
                <w:color w:val="000000"/>
                <w:sz w:val="16"/>
              </w:rPr>
              <w:t>75.</w:t>
            </w:r>
            <w:r w:rsidR="00CA4033">
              <w:rPr>
                <w:color w:val="000000"/>
                <w:sz w:val="16"/>
                <w:lang w:val="bg-BG"/>
              </w:rPr>
              <w:t>0513950854</w:t>
            </w:r>
            <w:r>
              <w:rPr>
                <w:color w:val="000000"/>
                <w:sz w:val="16"/>
              </w:rPr>
              <w:t>%</w:t>
            </w:r>
          </w:p>
        </w:tc>
      </w:tr>
      <w:tr w:rsidR="00235B8B" w:rsidRPr="00DD3B7B" w14:paraId="18D4151F"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858EE0" w14:textId="77777777" w:rsidR="00235B8B" w:rsidRPr="00DD3B7B" w:rsidRDefault="00235B8B" w:rsidP="00235B8B">
            <w:pPr>
              <w:spacing w:before="100"/>
              <w:rPr>
                <w:color w:val="000000"/>
                <w:sz w:val="16"/>
                <w:szCs w:val="16"/>
              </w:rPr>
            </w:pPr>
            <w:r w:rsidRPr="00DD3B7B">
              <w:rPr>
                <w:sz w:val="16"/>
                <w:szCs w:val="16"/>
              </w:rPr>
              <w:t>Техническа помощ съгласно член 36, параграф 5 от РОР</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C71944" w14:textId="77777777" w:rsidR="00235B8B" w:rsidRPr="00DD3B7B" w:rsidRDefault="00235B8B" w:rsidP="00235B8B">
            <w:pPr>
              <w:spacing w:before="100"/>
              <w:rPr>
                <w:color w:val="000000"/>
                <w:sz w:val="16"/>
                <w:szCs w:val="16"/>
              </w:rPr>
            </w:pPr>
            <w:r w:rsidRPr="00DD3B7B">
              <w:rPr>
                <w:sz w:val="16"/>
                <w:szCs w:val="16"/>
              </w:rPr>
              <w:t>Техническа помощ</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212323" w14:textId="77777777" w:rsidR="00235B8B" w:rsidRPr="00DD3B7B" w:rsidRDefault="00235B8B" w:rsidP="00235B8B">
            <w:pPr>
              <w:spacing w:before="100"/>
              <w:rPr>
                <w:color w:val="000000"/>
                <w:sz w:val="16"/>
                <w:szCs w:val="16"/>
              </w:rPr>
            </w:pP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DE2F6" w14:textId="77777777" w:rsidR="00235B8B" w:rsidRPr="00DD3B7B" w:rsidRDefault="00235B8B" w:rsidP="00235B8B">
            <w:pPr>
              <w:spacing w:before="100"/>
              <w:jc w:val="right"/>
              <w:rPr>
                <w:color w:val="000000"/>
                <w:sz w:val="16"/>
                <w:szCs w:val="16"/>
              </w:rPr>
            </w:pPr>
            <w:r>
              <w:rPr>
                <w:color w:val="000000"/>
                <w:sz w:val="16"/>
              </w:rPr>
              <w:t>2 525 653,49</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08CAC3"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577B0C"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185DE4" w14:textId="77777777" w:rsidR="00235B8B" w:rsidRPr="00DD3B7B" w:rsidRDefault="00235B8B" w:rsidP="00235B8B">
            <w:pPr>
              <w:spacing w:before="100"/>
              <w:jc w:val="right"/>
              <w:rPr>
                <w:color w:val="000000"/>
                <w:sz w:val="16"/>
                <w:szCs w:val="16"/>
              </w:rPr>
            </w:pP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D6C833" w14:textId="77777777" w:rsidR="00235B8B" w:rsidRPr="00DD3B7B" w:rsidRDefault="00235B8B" w:rsidP="00235B8B">
            <w:pPr>
              <w:spacing w:before="100"/>
              <w:jc w:val="right"/>
              <w:rPr>
                <w:color w:val="000000"/>
                <w:sz w:val="16"/>
                <w:szCs w:val="16"/>
              </w:rPr>
            </w:pPr>
            <w:r>
              <w:rPr>
                <w:color w:val="000000"/>
                <w:sz w:val="16"/>
              </w:rPr>
              <w:t>2 525 653,49</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CB143B" w14:textId="77777777" w:rsidR="00235B8B" w:rsidRPr="00DD3B7B" w:rsidRDefault="00235B8B" w:rsidP="00235B8B">
            <w:pPr>
              <w:spacing w:before="100"/>
              <w:jc w:val="right"/>
              <w:rPr>
                <w:color w:val="000000"/>
                <w:sz w:val="16"/>
                <w:szCs w:val="16"/>
              </w:rPr>
            </w:pPr>
            <w:r>
              <w:rPr>
                <w:color w:val="000000"/>
                <w:sz w:val="16"/>
              </w:rPr>
              <w:t>100.0000000000%</w:t>
            </w:r>
          </w:p>
        </w:tc>
      </w:tr>
      <w:tr w:rsidR="00235B8B" w:rsidRPr="00DD3B7B" w14:paraId="7D331A27" w14:textId="77777777" w:rsidTr="00235B8B">
        <w:tc>
          <w:tcPr>
            <w:tcW w:w="102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3AF924" w14:textId="77777777" w:rsidR="00235B8B" w:rsidRPr="00DD3B7B" w:rsidRDefault="00235B8B" w:rsidP="00235B8B">
            <w:pPr>
              <w:spacing w:before="100"/>
              <w:rPr>
                <w:color w:val="000000"/>
                <w:sz w:val="16"/>
                <w:szCs w:val="16"/>
              </w:rPr>
            </w:pPr>
            <w:r w:rsidRPr="00DD3B7B">
              <w:rPr>
                <w:sz w:val="16"/>
                <w:szCs w:val="16"/>
              </w:rPr>
              <w:t>Всичко общо</w:t>
            </w:r>
          </w:p>
        </w:tc>
        <w:tc>
          <w:tcPr>
            <w:tcW w:w="60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749A5E" w14:textId="77777777" w:rsidR="00235B8B" w:rsidRPr="00DD3B7B" w:rsidRDefault="00235B8B" w:rsidP="00235B8B">
            <w:pPr>
              <w:spacing w:before="100"/>
              <w:rPr>
                <w:color w:val="000000"/>
                <w:sz w:val="16"/>
                <w:szCs w:val="16"/>
              </w:rPr>
            </w:pP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52DC24" w14:textId="77777777" w:rsidR="00235B8B" w:rsidRPr="00DD3B7B" w:rsidRDefault="00235B8B" w:rsidP="00235B8B">
            <w:pPr>
              <w:spacing w:before="100"/>
              <w:rPr>
                <w:color w:val="000000"/>
                <w:sz w:val="16"/>
                <w:szCs w:val="16"/>
              </w:rPr>
            </w:pP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D442AC" w14:textId="77777777" w:rsidR="00235B8B" w:rsidRPr="00DD3B7B" w:rsidRDefault="00235B8B" w:rsidP="00235B8B">
            <w:pPr>
              <w:spacing w:before="100"/>
              <w:jc w:val="right"/>
              <w:rPr>
                <w:color w:val="000000"/>
                <w:sz w:val="16"/>
                <w:szCs w:val="16"/>
              </w:rPr>
            </w:pPr>
            <w:r>
              <w:rPr>
                <w:color w:val="000000"/>
                <w:sz w:val="16"/>
              </w:rPr>
              <w:t>44 619 878,43</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0E820C" w14:textId="7CF839F1" w:rsidR="00235B8B" w:rsidRPr="00DD3B7B" w:rsidRDefault="00235B8B" w:rsidP="00235B8B">
            <w:pPr>
              <w:spacing w:before="100"/>
              <w:jc w:val="right"/>
              <w:rPr>
                <w:color w:val="000000"/>
                <w:sz w:val="16"/>
                <w:szCs w:val="16"/>
              </w:rPr>
            </w:pPr>
            <w:r>
              <w:rPr>
                <w:color w:val="000000"/>
                <w:sz w:val="16"/>
              </w:rPr>
              <w:t>14 001 372,3</w:t>
            </w:r>
            <w:r w:rsidR="007563C5">
              <w:rPr>
                <w:color w:val="000000"/>
                <w:sz w:val="16"/>
                <w:lang w:val="bg-BG"/>
              </w:rPr>
              <w:t>9</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9FDDB9" w14:textId="59D3CA0F" w:rsidR="00235B8B" w:rsidRPr="00DD3B7B" w:rsidRDefault="00235B8B" w:rsidP="00235B8B">
            <w:pPr>
              <w:spacing w:before="100"/>
              <w:jc w:val="right"/>
              <w:rPr>
                <w:color w:val="000000"/>
                <w:sz w:val="16"/>
                <w:szCs w:val="16"/>
              </w:rPr>
            </w:pPr>
            <w:r>
              <w:rPr>
                <w:color w:val="000000"/>
                <w:sz w:val="16"/>
              </w:rPr>
              <w:t>14 001 372,3</w:t>
            </w:r>
            <w:r w:rsidR="007563C5">
              <w:rPr>
                <w:color w:val="000000"/>
                <w:sz w:val="16"/>
                <w:lang w:val="bg-BG"/>
              </w:rPr>
              <w:t>9</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09FA78" w14:textId="77777777" w:rsidR="00235B8B" w:rsidRPr="00DD3B7B" w:rsidRDefault="00235B8B" w:rsidP="00235B8B">
            <w:pPr>
              <w:spacing w:before="100"/>
              <w:jc w:val="right"/>
              <w:rPr>
                <w:color w:val="000000"/>
                <w:sz w:val="16"/>
                <w:szCs w:val="16"/>
              </w:rPr>
            </w:pPr>
            <w:r>
              <w:rPr>
                <w:color w:val="000000"/>
                <w:sz w:val="16"/>
              </w:rPr>
              <w:t>0,00</w:t>
            </w:r>
          </w:p>
        </w:tc>
        <w:tc>
          <w:tcPr>
            <w:tcW w:w="481"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DA9587" w14:textId="2CFB96DD" w:rsidR="00235B8B" w:rsidRPr="00DD3B7B" w:rsidRDefault="00235B8B" w:rsidP="00235B8B">
            <w:pPr>
              <w:spacing w:before="100"/>
              <w:jc w:val="right"/>
              <w:rPr>
                <w:color w:val="000000"/>
                <w:sz w:val="16"/>
                <w:szCs w:val="16"/>
              </w:rPr>
            </w:pPr>
            <w:r>
              <w:rPr>
                <w:color w:val="000000"/>
                <w:sz w:val="16"/>
              </w:rPr>
              <w:t>58 621 250,8</w:t>
            </w:r>
            <w:r w:rsidR="007563C5">
              <w:rPr>
                <w:color w:val="000000"/>
                <w:sz w:val="16"/>
                <w:lang w:val="bg-BG"/>
              </w:rPr>
              <w:t>2</w:t>
            </w:r>
          </w:p>
        </w:tc>
        <w:tc>
          <w:tcPr>
            <w:tcW w:w="478"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A71DE8" w14:textId="4AD767F6" w:rsidR="00235B8B" w:rsidRPr="00DD3B7B" w:rsidRDefault="00235B8B" w:rsidP="007563C5">
            <w:pPr>
              <w:spacing w:before="100"/>
              <w:jc w:val="right"/>
              <w:rPr>
                <w:color w:val="000000"/>
                <w:sz w:val="16"/>
                <w:szCs w:val="16"/>
              </w:rPr>
            </w:pPr>
            <w:r>
              <w:rPr>
                <w:color w:val="000000"/>
                <w:sz w:val="16"/>
              </w:rPr>
              <w:t>76.</w:t>
            </w:r>
            <w:r w:rsidR="007563C5">
              <w:rPr>
                <w:color w:val="000000"/>
                <w:sz w:val="16"/>
                <w:lang w:val="bg-BG"/>
              </w:rPr>
              <w:t>1155345644</w:t>
            </w:r>
            <w:r>
              <w:rPr>
                <w:color w:val="000000"/>
                <w:sz w:val="16"/>
              </w:rPr>
              <w:t>%</w:t>
            </w:r>
          </w:p>
        </w:tc>
      </w:tr>
    </w:tbl>
    <w:p w14:paraId="2C7F584F" w14:textId="77777777" w:rsidR="00235B8B" w:rsidRDefault="00235B8B">
      <w:pPr>
        <w:spacing w:before="100"/>
        <w:rPr>
          <w:color w:val="000000"/>
        </w:rPr>
      </w:pPr>
    </w:p>
    <w:p w14:paraId="2C6B9835" w14:textId="77777777" w:rsidR="00A77B3E" w:rsidRDefault="00E62050">
      <w:pPr>
        <w:spacing w:before="100"/>
        <w:rPr>
          <w:color w:val="000000"/>
        </w:rPr>
      </w:pPr>
      <w:r>
        <w:rPr>
          <w:color w:val="000000"/>
          <w:sz w:val="16"/>
        </w:rPr>
        <w:br w:type="page"/>
      </w:r>
    </w:p>
    <w:p w14:paraId="36BAE400" w14:textId="77777777" w:rsidR="00A77B3E" w:rsidRDefault="00E62050">
      <w:pPr>
        <w:pStyle w:val="Heading2"/>
        <w:spacing w:before="100" w:after="0"/>
        <w:rPr>
          <w:rFonts w:ascii="Times New Roman" w:hAnsi="Times New Roman" w:cs="Times New Roman"/>
          <w:b w:val="0"/>
          <w:i w:val="0"/>
          <w:color w:val="000000"/>
          <w:sz w:val="24"/>
        </w:rPr>
      </w:pPr>
      <w:bookmarkStart w:id="34" w:name="_Toc129599306"/>
      <w:r>
        <w:rPr>
          <w:rFonts w:ascii="Times New Roman" w:hAnsi="Times New Roman" w:cs="Times New Roman"/>
          <w:b w:val="0"/>
          <w:i w:val="0"/>
          <w:color w:val="000000"/>
          <w:sz w:val="24"/>
        </w:rPr>
        <w:lastRenderedPageBreak/>
        <w:t xml:space="preserve">3.3. </w:t>
      </w:r>
      <w:r w:rsidR="00235B8B" w:rsidRPr="00235B8B">
        <w:rPr>
          <w:rFonts w:ascii="Times New Roman" w:hAnsi="Times New Roman" w:cs="Times New Roman"/>
          <w:b w:val="0"/>
          <w:i w:val="0"/>
          <w:color w:val="000000"/>
          <w:sz w:val="24"/>
        </w:rPr>
        <w:t>Прехвърляния</w:t>
      </w:r>
      <w:bookmarkEnd w:id="34"/>
    </w:p>
    <w:p w14:paraId="3AC99710" w14:textId="77777777" w:rsidR="00A77B3E" w:rsidRDefault="00235B8B">
      <w:pPr>
        <w:pStyle w:val="Heading3"/>
        <w:spacing w:before="100" w:after="0"/>
        <w:rPr>
          <w:rFonts w:ascii="Times New Roman" w:hAnsi="Times New Roman" w:cs="Times New Roman"/>
          <w:b w:val="0"/>
          <w:color w:val="000000"/>
          <w:sz w:val="0"/>
        </w:rPr>
      </w:pPr>
      <w:bookmarkStart w:id="35" w:name="_Toc129599307"/>
      <w:r w:rsidRPr="00235B8B">
        <w:rPr>
          <w:rFonts w:ascii="Times New Roman" w:hAnsi="Times New Roman" w:cs="Times New Roman"/>
          <w:b w:val="0"/>
          <w:color w:val="000000"/>
          <w:sz w:val="24"/>
        </w:rPr>
        <w:t xml:space="preserve">Таблица 7: Прехвърляния между фондове при споделено управление </w:t>
      </w:r>
      <w:r w:rsidR="00E62050">
        <w:rPr>
          <w:rFonts w:ascii="Times New Roman" w:hAnsi="Times New Roman" w:cs="Times New Roman"/>
          <w:b w:val="0"/>
          <w:color w:val="000000"/>
          <w:sz w:val="24"/>
          <w:vertAlign w:val="superscript"/>
        </w:rPr>
        <w:t>1</w:t>
      </w:r>
      <w:bookmarkEnd w:id="35"/>
    </w:p>
    <w:p w14:paraId="62B50A17"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1801"/>
        <w:gridCol w:w="1309"/>
        <w:gridCol w:w="1504"/>
        <w:gridCol w:w="1562"/>
        <w:gridCol w:w="976"/>
        <w:gridCol w:w="2370"/>
        <w:gridCol w:w="1498"/>
      </w:tblGrid>
      <w:tr w:rsidR="004568F4" w:rsidRPr="007A6C98" w14:paraId="334CFC0D" w14:textId="77777777">
        <w:trPr>
          <w:trHeight w:val="160"/>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5106EB" w14:textId="77777777" w:rsidR="004568F4" w:rsidRPr="00762B6C" w:rsidRDefault="004568F4" w:rsidP="004568F4">
            <w:pPr>
              <w:spacing w:before="100"/>
              <w:jc w:val="center"/>
              <w:rPr>
                <w:color w:val="000000"/>
              </w:rPr>
            </w:pPr>
            <w:r w:rsidRPr="00762B6C">
              <w:t>Прехвърлящ фонд</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835B28" w14:textId="77777777" w:rsidR="004568F4" w:rsidRPr="00762B6C" w:rsidRDefault="004568F4" w:rsidP="004568F4">
            <w:pPr>
              <w:spacing w:before="100"/>
              <w:jc w:val="center"/>
              <w:rPr>
                <w:color w:val="000000"/>
              </w:rPr>
            </w:pPr>
            <w:r w:rsidRPr="00762B6C">
              <w:rPr>
                <w:color w:val="000000"/>
              </w:rPr>
              <w:t>Получаващ фонд</w:t>
            </w:r>
          </w:p>
        </w:tc>
      </w:tr>
      <w:tr w:rsidR="007A6C98" w:rsidRPr="007A6C98" w14:paraId="44B60F13" w14:textId="77777777" w:rsidTr="0098574A">
        <w:trPr>
          <w:trHeight w:val="160"/>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6E5591" w14:textId="77777777" w:rsidR="007A6C98" w:rsidRPr="00762B6C" w:rsidRDefault="007A6C98" w:rsidP="007A6C98">
            <w:pPr>
              <w:spacing w:before="10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D56328" w14:textId="77777777" w:rsidR="007A6C98" w:rsidRPr="00762B6C" w:rsidRDefault="007A6C98" w:rsidP="007A6C98">
            <w:pPr>
              <w:spacing w:before="100"/>
              <w:jc w:val="center"/>
              <w:rPr>
                <w:color w:val="000000"/>
              </w:rPr>
            </w:pPr>
            <w:r w:rsidRPr="00762B6C">
              <w:t>ФУМИ</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49DA50" w14:textId="77777777" w:rsidR="007A6C98" w:rsidRPr="00762B6C" w:rsidRDefault="007A6C98" w:rsidP="007A6C98">
            <w:pPr>
              <w:spacing w:before="100"/>
              <w:jc w:val="center"/>
              <w:rPr>
                <w:color w:val="000000"/>
              </w:rPr>
            </w:pPr>
            <w:r w:rsidRPr="00762B6C">
              <w:t>ФВС</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48EE4E" w14:textId="77777777" w:rsidR="007A6C98" w:rsidRPr="00762B6C" w:rsidRDefault="007A6C98" w:rsidP="007A6C98">
            <w:pPr>
              <w:spacing w:before="100"/>
              <w:jc w:val="center"/>
              <w:rPr>
                <w:color w:val="000000"/>
              </w:rPr>
            </w:pPr>
            <w:r w:rsidRPr="00762B6C">
              <w:t>ЕФРР</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EAE580" w14:textId="77777777" w:rsidR="007A6C98" w:rsidRPr="00762B6C" w:rsidRDefault="007A6C98" w:rsidP="007A6C98">
            <w:pPr>
              <w:spacing w:before="100"/>
              <w:jc w:val="center"/>
              <w:rPr>
                <w:color w:val="000000"/>
              </w:rPr>
            </w:pPr>
            <w:r w:rsidRPr="00762B6C">
              <w:t>ЕСФ+</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733E10" w14:textId="77777777" w:rsidR="007A6C98" w:rsidRPr="00762B6C" w:rsidRDefault="007A6C98" w:rsidP="007A6C98">
            <w:pPr>
              <w:spacing w:before="100"/>
              <w:jc w:val="center"/>
              <w:rPr>
                <w:color w:val="000000"/>
              </w:rPr>
            </w:pPr>
            <w:r w:rsidRPr="00762B6C">
              <w:t>КФ</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20A822" w14:textId="77777777" w:rsidR="007A6C98" w:rsidRPr="00762B6C" w:rsidRDefault="007A6C98" w:rsidP="007A6C98">
            <w:pPr>
              <w:spacing w:before="100"/>
              <w:jc w:val="center"/>
              <w:rPr>
                <w:color w:val="000000"/>
              </w:rPr>
            </w:pPr>
            <w:r w:rsidRPr="00762B6C">
              <w:t>ЕФМДРА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DEDC4C" w14:textId="77777777" w:rsidR="007A6C98" w:rsidRPr="00762B6C" w:rsidRDefault="007A6C98" w:rsidP="007A6C98">
            <w:pPr>
              <w:spacing w:before="100"/>
              <w:jc w:val="center"/>
              <w:rPr>
                <w:color w:val="000000"/>
              </w:rPr>
            </w:pPr>
            <w:r w:rsidRPr="00762B6C">
              <w:t>Общо</w:t>
            </w:r>
          </w:p>
        </w:tc>
      </w:tr>
      <w:tr w:rsidR="004568F4" w:rsidRPr="007A6C98" w14:paraId="0328E0B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6D1FFA" w14:textId="77777777" w:rsidR="004568F4" w:rsidRPr="00762B6C" w:rsidRDefault="004568F4" w:rsidP="004568F4">
            <w:pPr>
              <w:spacing w:before="100"/>
              <w:jc w:val="center"/>
              <w:rPr>
                <w:color w:val="000000"/>
              </w:rPr>
            </w:pPr>
            <w:r w:rsidRPr="00762B6C">
              <w:rPr>
                <w:color w:val="000000"/>
              </w:rPr>
              <w:t>ФВС</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7065A7" w14:textId="77777777" w:rsidR="004568F4" w:rsidRPr="00762B6C" w:rsidRDefault="004568F4" w:rsidP="004568F4">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F89B7A" w14:textId="77777777" w:rsidR="004568F4" w:rsidRPr="00762B6C" w:rsidRDefault="004568F4" w:rsidP="004568F4">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7148B3" w14:textId="77777777" w:rsidR="004568F4" w:rsidRPr="00762B6C" w:rsidRDefault="004568F4" w:rsidP="004568F4">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FEC968" w14:textId="77777777" w:rsidR="004568F4" w:rsidRPr="00762B6C" w:rsidRDefault="004568F4" w:rsidP="004568F4">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81651C" w14:textId="77777777" w:rsidR="004568F4" w:rsidRPr="00762B6C" w:rsidRDefault="004568F4" w:rsidP="004568F4">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10C435" w14:textId="77777777" w:rsidR="004568F4" w:rsidRPr="00762B6C" w:rsidRDefault="004568F4" w:rsidP="004568F4">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43E158" w14:textId="77777777" w:rsidR="004568F4" w:rsidRPr="00762B6C" w:rsidRDefault="004568F4" w:rsidP="004568F4">
            <w:pPr>
              <w:spacing w:before="100"/>
              <w:jc w:val="right"/>
              <w:rPr>
                <w:color w:val="000000"/>
              </w:rPr>
            </w:pPr>
          </w:p>
        </w:tc>
      </w:tr>
    </w:tbl>
    <w:p w14:paraId="52425833" w14:textId="77777777" w:rsidR="00A77B3E" w:rsidRDefault="00E62050">
      <w:pPr>
        <w:spacing w:before="100"/>
        <w:rPr>
          <w:color w:val="000000"/>
        </w:rPr>
      </w:pPr>
      <w:r>
        <w:rPr>
          <w:color w:val="000000"/>
          <w:vertAlign w:val="superscript"/>
        </w:rPr>
        <w:t>1</w:t>
      </w:r>
      <w:r w:rsidR="004568F4">
        <w:rPr>
          <w:color w:val="000000"/>
          <w:lang w:val="bg-BG"/>
        </w:rPr>
        <w:t xml:space="preserve"> </w:t>
      </w:r>
      <w:r w:rsidR="004568F4" w:rsidRPr="004568F4">
        <w:rPr>
          <w:color w:val="000000"/>
          <w:lang w:val="bg-BG"/>
        </w:rPr>
        <w:t>Кумулативни суми на всички прехвърляния през програмния период</w:t>
      </w:r>
      <w:r>
        <w:rPr>
          <w:color w:val="000000"/>
        </w:rPr>
        <w:t>.</w:t>
      </w:r>
    </w:p>
    <w:p w14:paraId="563E7671" w14:textId="77777777" w:rsidR="00A77B3E" w:rsidRDefault="00E62050">
      <w:pPr>
        <w:pStyle w:val="Heading3"/>
        <w:spacing w:before="100" w:after="0"/>
        <w:rPr>
          <w:rFonts w:ascii="Times New Roman" w:hAnsi="Times New Roman" w:cs="Times New Roman"/>
          <w:b w:val="0"/>
          <w:color w:val="000000"/>
          <w:sz w:val="0"/>
        </w:rPr>
      </w:pPr>
      <w:r>
        <w:rPr>
          <w:rFonts w:ascii="Times New Roman" w:hAnsi="Times New Roman" w:cs="Times New Roman"/>
          <w:b w:val="0"/>
          <w:color w:val="000000"/>
          <w:sz w:val="24"/>
        </w:rPr>
        <w:br w:type="page"/>
      </w:r>
      <w:bookmarkStart w:id="36" w:name="_Toc129599308"/>
      <w:r w:rsidR="004568F4" w:rsidRPr="004568F4">
        <w:rPr>
          <w:rFonts w:ascii="Times New Roman" w:hAnsi="Times New Roman" w:cs="Times New Roman"/>
          <w:b w:val="0"/>
          <w:color w:val="000000"/>
          <w:sz w:val="24"/>
        </w:rPr>
        <w:lastRenderedPageBreak/>
        <w:t>Таблица 8: Прехвърляния към инструменти, изпълнявани при пряко или непряко управление</w:t>
      </w:r>
      <w:r>
        <w:rPr>
          <w:rFonts w:ascii="Times New Roman" w:hAnsi="Times New Roman" w:cs="Times New Roman"/>
          <w:b w:val="0"/>
          <w:color w:val="000000"/>
          <w:sz w:val="24"/>
          <w:vertAlign w:val="superscript"/>
        </w:rPr>
        <w:t>1</w:t>
      </w:r>
      <w:bookmarkEnd w:id="36"/>
    </w:p>
    <w:p w14:paraId="3552BCB2"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gridCol w:w="9487"/>
      </w:tblGrid>
      <w:tr w:rsidR="002F6D49" w14:paraId="70D7C90E"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1DC4DE" w14:textId="77777777" w:rsidR="00A77B3E" w:rsidRDefault="004568F4">
            <w:pPr>
              <w:spacing w:before="100"/>
              <w:jc w:val="center"/>
              <w:rPr>
                <w:color w:val="000000"/>
              </w:rPr>
            </w:pPr>
            <w:r w:rsidRPr="004568F4">
              <w:rPr>
                <w:color w:val="000000"/>
              </w:rPr>
              <w:t>Инструмент</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164813" w14:textId="77777777" w:rsidR="00A77B3E" w:rsidRDefault="004568F4">
            <w:pPr>
              <w:spacing w:before="100"/>
              <w:jc w:val="center"/>
              <w:rPr>
                <w:color w:val="000000"/>
              </w:rPr>
            </w:pPr>
            <w:r w:rsidRPr="004568F4">
              <w:rPr>
                <w:color w:val="000000"/>
              </w:rPr>
              <w:t>Сума за прехвърляне</w:t>
            </w:r>
          </w:p>
        </w:tc>
      </w:tr>
    </w:tbl>
    <w:p w14:paraId="00FC889E" w14:textId="77777777" w:rsidR="00A77B3E" w:rsidRDefault="00E62050">
      <w:pPr>
        <w:spacing w:before="100"/>
        <w:rPr>
          <w:color w:val="000000"/>
        </w:rPr>
        <w:sectPr w:rsidR="00A77B3E">
          <w:headerReference w:type="even" r:id="rId59"/>
          <w:headerReference w:type="default" r:id="rId60"/>
          <w:footerReference w:type="even" r:id="rId61"/>
          <w:footerReference w:type="default" r:id="rId62"/>
          <w:headerReference w:type="first" r:id="rId63"/>
          <w:footerReference w:type="first" r:id="rId64"/>
          <w:pgSz w:w="16838" w:h="11906" w:orient="landscape"/>
          <w:pgMar w:top="720" w:right="720" w:bottom="864" w:left="936" w:header="288" w:footer="72" w:gutter="0"/>
          <w:cols w:space="720"/>
          <w:noEndnote/>
          <w:docGrid w:linePitch="360"/>
        </w:sectPr>
      </w:pPr>
      <w:r>
        <w:rPr>
          <w:color w:val="000000"/>
          <w:vertAlign w:val="superscript"/>
        </w:rPr>
        <w:t>1</w:t>
      </w:r>
      <w:r w:rsidR="004568F4">
        <w:rPr>
          <w:color w:val="000000"/>
          <w:lang w:val="bg-BG"/>
        </w:rPr>
        <w:t xml:space="preserve"> </w:t>
      </w:r>
      <w:r w:rsidR="004568F4" w:rsidRPr="004568F4">
        <w:rPr>
          <w:color w:val="000000"/>
        </w:rPr>
        <w:t>Кумулативни суми на всички прехвърляния през програмния период</w:t>
      </w:r>
      <w:r>
        <w:rPr>
          <w:color w:val="000000"/>
        </w:rPr>
        <w:t>.</w:t>
      </w:r>
    </w:p>
    <w:p w14:paraId="7311C174" w14:textId="77777777" w:rsidR="00A77B3E" w:rsidRDefault="00E62050">
      <w:pPr>
        <w:pStyle w:val="Heading1"/>
        <w:spacing w:before="100" w:after="0"/>
        <w:rPr>
          <w:rFonts w:ascii="Times New Roman" w:hAnsi="Times New Roman" w:cs="Times New Roman"/>
          <w:b w:val="0"/>
          <w:color w:val="000000"/>
          <w:sz w:val="24"/>
        </w:rPr>
      </w:pPr>
      <w:bookmarkStart w:id="37" w:name="_Toc129599309"/>
      <w:r>
        <w:rPr>
          <w:rFonts w:ascii="Times New Roman" w:hAnsi="Times New Roman" w:cs="Times New Roman"/>
          <w:b w:val="0"/>
          <w:color w:val="000000"/>
          <w:sz w:val="24"/>
        </w:rPr>
        <w:lastRenderedPageBreak/>
        <w:t xml:space="preserve">4. </w:t>
      </w:r>
      <w:r w:rsidR="00C60676" w:rsidRPr="00C60676">
        <w:rPr>
          <w:rFonts w:ascii="Times New Roman" w:hAnsi="Times New Roman" w:cs="Times New Roman"/>
          <w:b w:val="0"/>
          <w:color w:val="000000"/>
          <w:sz w:val="24"/>
        </w:rPr>
        <w:t>Отключващи условия</w:t>
      </w:r>
      <w:bookmarkEnd w:id="37"/>
    </w:p>
    <w:p w14:paraId="0B3777DB" w14:textId="77777777" w:rsidR="00A77B3E" w:rsidRDefault="00C60676">
      <w:pPr>
        <w:spacing w:before="100"/>
        <w:rPr>
          <w:color w:val="000000"/>
        </w:rPr>
      </w:pPr>
      <w:r w:rsidRPr="00C60676">
        <w:rPr>
          <w:color w:val="000000"/>
        </w:rPr>
        <w:t>Основание: Член 22, параграф 3, буква и) от РОР</w:t>
      </w:r>
    </w:p>
    <w:p w14:paraId="69FDBD2F" w14:textId="77777777" w:rsidR="00A77B3E" w:rsidRDefault="00C60676">
      <w:pPr>
        <w:pStyle w:val="Heading2"/>
        <w:spacing w:before="100" w:after="0"/>
        <w:rPr>
          <w:rFonts w:ascii="Times New Roman" w:hAnsi="Times New Roman" w:cs="Times New Roman"/>
          <w:b w:val="0"/>
          <w:i w:val="0"/>
          <w:color w:val="000000"/>
          <w:sz w:val="24"/>
          <w:lang w:val="bg-BG"/>
        </w:rPr>
      </w:pPr>
      <w:bookmarkStart w:id="38" w:name="_Toc129599310"/>
      <w:r w:rsidRPr="00C60676">
        <w:rPr>
          <w:rFonts w:ascii="Times New Roman" w:hAnsi="Times New Roman" w:cs="Times New Roman"/>
          <w:b w:val="0"/>
          <w:i w:val="0"/>
          <w:color w:val="000000"/>
          <w:sz w:val="24"/>
        </w:rPr>
        <w:t>Таблица 9: Хоризонтални отключващи услови</w:t>
      </w:r>
      <w:r>
        <w:rPr>
          <w:rFonts w:ascii="Times New Roman" w:hAnsi="Times New Roman" w:cs="Times New Roman"/>
          <w:b w:val="0"/>
          <w:i w:val="0"/>
          <w:color w:val="000000"/>
          <w:sz w:val="24"/>
          <w:lang w:val="bg-BG"/>
        </w:rPr>
        <w:t>я</w:t>
      </w:r>
      <w:bookmarkEnd w:id="38"/>
    </w:p>
    <w:tbl>
      <w:tblPr>
        <w:tblW w:w="156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3600"/>
        <w:gridCol w:w="1600"/>
        <w:gridCol w:w="3600"/>
        <w:gridCol w:w="3600"/>
      </w:tblGrid>
      <w:tr w:rsidR="00C60676" w:rsidRPr="0084467A" w14:paraId="31C8AA79" w14:textId="77777777" w:rsidTr="00CD2606">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4FAFDB" w14:textId="77777777" w:rsidR="00C60676" w:rsidRPr="0084467A" w:rsidRDefault="00C60676" w:rsidP="00CD2606">
            <w:pPr>
              <w:spacing w:before="100"/>
              <w:ind w:hanging="60"/>
              <w:rPr>
                <w:sz w:val="20"/>
              </w:rPr>
            </w:pPr>
            <w:r w:rsidRPr="0084467A">
              <w:rPr>
                <w:sz w:val="20"/>
              </w:rPr>
              <w:t>Отключващи условия</w:t>
            </w:r>
          </w:p>
        </w:tc>
        <w:tc>
          <w:tcPr>
            <w:tcW w:w="1600" w:type="dxa"/>
            <w:tcBorders>
              <w:top w:val="single" w:sz="4" w:space="0" w:color="auto"/>
              <w:left w:val="single" w:sz="4" w:space="0" w:color="auto"/>
            </w:tcBorders>
            <w:shd w:val="clear" w:color="auto" w:fill="auto"/>
            <w:tcMar>
              <w:top w:w="0" w:type="dxa"/>
              <w:left w:w="60" w:type="dxa"/>
              <w:bottom w:w="80" w:type="dxa"/>
              <w:right w:w="60" w:type="dxa"/>
            </w:tcMar>
            <w:vAlign w:val="center"/>
          </w:tcPr>
          <w:p w14:paraId="7A1A4118" w14:textId="77777777" w:rsidR="00C60676" w:rsidRPr="0084467A" w:rsidRDefault="00C60676" w:rsidP="00CD2606">
            <w:pPr>
              <w:spacing w:before="100"/>
              <w:rPr>
                <w:sz w:val="20"/>
                <w:szCs w:val="20"/>
              </w:rPr>
            </w:pPr>
            <w:r w:rsidRPr="0084467A">
              <w:rPr>
                <w:rStyle w:val="a"/>
                <w:rFonts w:eastAsia="Courier New"/>
                <w:sz w:val="20"/>
                <w:szCs w:val="20"/>
              </w:rPr>
              <w:t>Изпълнение на отключващите условия</w:t>
            </w:r>
          </w:p>
        </w:tc>
        <w:tc>
          <w:tcPr>
            <w:tcW w:w="3600" w:type="dxa"/>
            <w:tcBorders>
              <w:top w:val="single" w:sz="4" w:space="0" w:color="auto"/>
              <w:left w:val="single" w:sz="4" w:space="0" w:color="auto"/>
            </w:tcBorders>
            <w:shd w:val="clear" w:color="auto" w:fill="auto"/>
            <w:tcMar>
              <w:top w:w="0" w:type="dxa"/>
              <w:left w:w="60" w:type="dxa"/>
              <w:bottom w:w="80" w:type="dxa"/>
              <w:right w:w="60" w:type="dxa"/>
            </w:tcMar>
            <w:vAlign w:val="center"/>
          </w:tcPr>
          <w:p w14:paraId="5C401C12" w14:textId="77777777" w:rsidR="00C60676" w:rsidRPr="0084467A" w:rsidRDefault="00C60676" w:rsidP="00CD2606">
            <w:pPr>
              <w:spacing w:before="100"/>
              <w:rPr>
                <w:sz w:val="20"/>
                <w:szCs w:val="20"/>
              </w:rPr>
            </w:pPr>
            <w:r w:rsidRPr="0084467A">
              <w:rPr>
                <w:rStyle w:val="a"/>
                <w:rFonts w:eastAsia="Courier New"/>
                <w:sz w:val="20"/>
                <w:szCs w:val="20"/>
              </w:rPr>
              <w:t>Критерии</w:t>
            </w:r>
          </w:p>
        </w:tc>
        <w:tc>
          <w:tcPr>
            <w:tcW w:w="1600" w:type="dxa"/>
            <w:tcBorders>
              <w:top w:val="single" w:sz="4" w:space="0" w:color="auto"/>
              <w:left w:val="single" w:sz="4" w:space="0" w:color="auto"/>
            </w:tcBorders>
            <w:shd w:val="clear" w:color="auto" w:fill="auto"/>
            <w:tcMar>
              <w:top w:w="0" w:type="dxa"/>
              <w:left w:w="60" w:type="dxa"/>
              <w:bottom w:w="80" w:type="dxa"/>
              <w:right w:w="60" w:type="dxa"/>
            </w:tcMar>
            <w:vAlign w:val="center"/>
          </w:tcPr>
          <w:p w14:paraId="2281BD2D" w14:textId="77777777" w:rsidR="00C60676" w:rsidRPr="0084467A" w:rsidRDefault="00C60676" w:rsidP="00CD2606">
            <w:pPr>
              <w:spacing w:before="100"/>
              <w:rPr>
                <w:sz w:val="20"/>
                <w:szCs w:val="20"/>
              </w:rPr>
            </w:pPr>
            <w:r w:rsidRPr="0084467A">
              <w:rPr>
                <w:rStyle w:val="a"/>
                <w:rFonts w:eastAsia="Courier New"/>
                <w:sz w:val="20"/>
                <w:szCs w:val="20"/>
              </w:rPr>
              <w:t>Изпълнение на критериите</w:t>
            </w:r>
          </w:p>
        </w:tc>
        <w:tc>
          <w:tcPr>
            <w:tcW w:w="3600" w:type="dxa"/>
            <w:tcBorders>
              <w:top w:val="single" w:sz="4" w:space="0" w:color="auto"/>
              <w:left w:val="single" w:sz="4" w:space="0" w:color="auto"/>
            </w:tcBorders>
            <w:shd w:val="clear" w:color="auto" w:fill="auto"/>
            <w:tcMar>
              <w:top w:w="0" w:type="dxa"/>
              <w:left w:w="60" w:type="dxa"/>
              <w:bottom w:w="80" w:type="dxa"/>
              <w:right w:w="60" w:type="dxa"/>
            </w:tcMar>
            <w:vAlign w:val="center"/>
          </w:tcPr>
          <w:p w14:paraId="66432AA2" w14:textId="77777777" w:rsidR="00C60676" w:rsidRPr="0084467A" w:rsidRDefault="00C60676" w:rsidP="00CD2606">
            <w:pPr>
              <w:spacing w:before="100"/>
              <w:rPr>
                <w:sz w:val="20"/>
                <w:szCs w:val="20"/>
              </w:rPr>
            </w:pPr>
            <w:r w:rsidRPr="0084467A">
              <w:rPr>
                <w:rStyle w:val="a"/>
                <w:rFonts w:eastAsia="Courier New"/>
                <w:sz w:val="20"/>
                <w:szCs w:val="20"/>
              </w:rPr>
              <w:t>Позоваване на съответната докуме</w:t>
            </w:r>
            <w:r>
              <w:rPr>
                <w:rStyle w:val="a"/>
                <w:rFonts w:eastAsia="Courier New"/>
                <w:sz w:val="20"/>
                <w:szCs w:val="20"/>
              </w:rPr>
              <w:t>н</w:t>
            </w:r>
            <w:r w:rsidRPr="0084467A">
              <w:rPr>
                <w:rStyle w:val="a"/>
                <w:rFonts w:eastAsia="Courier New"/>
                <w:sz w:val="20"/>
                <w:szCs w:val="20"/>
              </w:rPr>
              <w:t>тация</w:t>
            </w:r>
          </w:p>
        </w:tc>
        <w:tc>
          <w:tcPr>
            <w:tcW w:w="3600" w:type="dxa"/>
            <w:tcBorders>
              <w:top w:val="single" w:sz="4" w:space="0" w:color="auto"/>
              <w:left w:val="single" w:sz="4" w:space="0" w:color="auto"/>
              <w:right w:val="single" w:sz="4" w:space="0" w:color="auto"/>
            </w:tcBorders>
            <w:shd w:val="clear" w:color="auto" w:fill="auto"/>
            <w:tcMar>
              <w:top w:w="0" w:type="dxa"/>
              <w:left w:w="60" w:type="dxa"/>
              <w:bottom w:w="80" w:type="dxa"/>
              <w:right w:w="60" w:type="dxa"/>
            </w:tcMar>
            <w:vAlign w:val="center"/>
          </w:tcPr>
          <w:p w14:paraId="39C7670A" w14:textId="77777777" w:rsidR="00C60676" w:rsidRPr="0084467A" w:rsidRDefault="00C60676" w:rsidP="00CD2606">
            <w:pPr>
              <w:spacing w:before="100"/>
              <w:rPr>
                <w:sz w:val="20"/>
                <w:szCs w:val="20"/>
              </w:rPr>
            </w:pPr>
            <w:r w:rsidRPr="0084467A">
              <w:rPr>
                <w:rStyle w:val="a"/>
                <w:rFonts w:eastAsia="Courier New"/>
                <w:sz w:val="20"/>
                <w:szCs w:val="20"/>
              </w:rPr>
              <w:t>Обосновка</w:t>
            </w:r>
          </w:p>
        </w:tc>
      </w:tr>
      <w:tr w:rsidR="00C60676" w:rsidRPr="0084467A" w14:paraId="794CDB84" w14:textId="77777777" w:rsidTr="00CD2606">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40B480" w14:textId="77777777" w:rsidR="00C60676" w:rsidRPr="0084467A" w:rsidRDefault="00C60676" w:rsidP="00CD2606">
            <w:pPr>
              <w:spacing w:before="100"/>
              <w:jc w:val="both"/>
              <w:rPr>
                <w:sz w:val="20"/>
              </w:rPr>
            </w:pPr>
            <w:r w:rsidRPr="0084467A">
              <w:rPr>
                <w:sz w:val="20"/>
              </w:rPr>
              <w:t>1. Ефективни механизми за наблюдение на пазара на обществени поръчки</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599CD2" w14:textId="77777777" w:rsidR="00C60676" w:rsidRPr="0084467A" w:rsidRDefault="00C60676" w:rsidP="00CD2606">
            <w:pPr>
              <w:spacing w:before="100"/>
              <w:jc w:val="both"/>
              <w:rPr>
                <w:sz w:val="20"/>
              </w:rPr>
            </w:pPr>
            <w:r w:rsidRPr="0084467A">
              <w:rPr>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E1E3C1" w14:textId="77777777" w:rsidR="00C60676" w:rsidRPr="0084467A" w:rsidRDefault="00C60676" w:rsidP="00CD2606">
            <w:pPr>
              <w:spacing w:before="100"/>
              <w:jc w:val="both"/>
              <w:rPr>
                <w:sz w:val="20"/>
              </w:rPr>
            </w:pPr>
            <w:r w:rsidRPr="0084467A">
              <w:rPr>
                <w:sz w:val="20"/>
              </w:rPr>
              <w:t>Налице са механизми за мониторинг, които обхващат всички обществени поръчки и възлагането им по линия на фондовете в съответствие със законодателството на Съюза в тази област. Това изискване включва:</w:t>
            </w:r>
          </w:p>
          <w:p w14:paraId="33EB372F" w14:textId="77777777" w:rsidR="00C60676" w:rsidRPr="0084467A" w:rsidRDefault="00C60676" w:rsidP="00CD2606">
            <w:pPr>
              <w:spacing w:before="100"/>
              <w:jc w:val="both"/>
              <w:rPr>
                <w:sz w:val="20"/>
              </w:rPr>
            </w:pPr>
            <w:r w:rsidRPr="0084467A">
              <w:rPr>
                <w:sz w:val="20"/>
              </w:rPr>
              <w:t>1. Мерки за осигуряване на набор от ефективни и надеждни данни за процедурите за възлагане на обществени поръчки над праговете на Съюза в съответствие със задълженията за докладване съгласно членове 83 и 84 от Директива 2014/24/ЕС и членове 99 и 100 от Директива 2014/25/ЕС.</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B0D845" w14:textId="77777777" w:rsidR="00C60676" w:rsidRPr="0084467A" w:rsidRDefault="00C60676" w:rsidP="00CD2606">
            <w:pPr>
              <w:spacing w:before="100"/>
              <w:jc w:val="both"/>
              <w:rPr>
                <w:sz w:val="20"/>
              </w:rPr>
            </w:pPr>
            <w:r w:rsidRPr="0084467A">
              <w:rPr>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65B2DF" w14:textId="77777777" w:rsidR="00C60676" w:rsidRPr="0084467A" w:rsidRDefault="00C60676" w:rsidP="00CD2606">
            <w:pPr>
              <w:spacing w:before="100"/>
              <w:ind w:left="71" w:right="130"/>
              <w:jc w:val="both"/>
              <w:rPr>
                <w:rFonts w:eastAsia="Calibri"/>
                <w:sz w:val="20"/>
                <w:szCs w:val="20"/>
              </w:rPr>
            </w:pPr>
            <w:r w:rsidRPr="0084467A">
              <w:rPr>
                <w:sz w:val="20"/>
                <w:szCs w:val="20"/>
                <w:lang w:eastAsia="en-GB"/>
              </w:rPr>
              <w:t xml:space="preserve">Закон за изменение и допълнение на Закона за обществените поръчки – обн., ДВ бр. 102/2019 г., в сила от 01.01.2020 г. </w:t>
            </w:r>
            <w:hyperlink r:id="rId65" w:history="1">
              <w:r w:rsidRPr="0084467A">
                <w:rPr>
                  <w:sz w:val="20"/>
                  <w:szCs w:val="20"/>
                  <w:lang w:eastAsia="en-GB"/>
                </w:rPr>
                <w:t>https://www.eufunds.bg/sites/default/files/uploads/eip/docs/2021-09.pdf</w:t>
              </w:r>
            </w:hyperlink>
          </w:p>
          <w:p w14:paraId="508BECC1" w14:textId="77777777" w:rsidR="00C60676" w:rsidRPr="0084467A" w:rsidRDefault="00C60676" w:rsidP="00CD2606">
            <w:pPr>
              <w:shd w:val="clear" w:color="auto" w:fill="FFFFFF"/>
              <w:tabs>
                <w:tab w:val="left" w:pos="137"/>
                <w:tab w:val="left" w:pos="287"/>
              </w:tabs>
              <w:spacing w:before="100"/>
              <w:ind w:left="71" w:right="71"/>
              <w:jc w:val="both"/>
              <w:rPr>
                <w:sz w:val="20"/>
                <w:szCs w:val="20"/>
                <w:lang w:eastAsia="en-GB"/>
              </w:rPr>
            </w:pPr>
            <w:r w:rsidRPr="0084467A">
              <w:rPr>
                <w:sz w:val="20"/>
                <w:szCs w:val="20"/>
                <w:lang w:eastAsia="en-GB"/>
              </w:rPr>
              <w:t>(Информацията продължава по-долу предвид нейния обем и относимостта й към всеки от критериите по т.1-4)</w:t>
            </w:r>
          </w:p>
          <w:p w14:paraId="2306767E" w14:textId="77777777" w:rsidR="00C60676" w:rsidRPr="0084467A" w:rsidRDefault="00C60676" w:rsidP="00CD2606">
            <w:pPr>
              <w:spacing w:before="100"/>
              <w:jc w:val="both"/>
              <w:rPr>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FC7319" w14:textId="77777777" w:rsidR="00C60676" w:rsidRPr="009160F1" w:rsidRDefault="00C60676" w:rsidP="00CD2606">
            <w:pPr>
              <w:spacing w:before="100"/>
              <w:jc w:val="both"/>
              <w:rPr>
                <w:sz w:val="20"/>
              </w:rPr>
            </w:pPr>
            <w:r w:rsidRPr="009160F1">
              <w:rPr>
                <w:sz w:val="20"/>
              </w:rPr>
              <w:t>Детайлизирана е нормативната уредба относно мониторинга на обществените поръчки, чрез:</w:t>
            </w:r>
          </w:p>
          <w:p w14:paraId="74D8702D" w14:textId="77777777" w:rsidR="00C60676" w:rsidRPr="009160F1" w:rsidRDefault="00C60676" w:rsidP="00CD2606">
            <w:pPr>
              <w:spacing w:before="100"/>
              <w:rPr>
                <w:sz w:val="20"/>
              </w:rPr>
            </w:pPr>
            <w:r w:rsidRPr="009160F1">
              <w:rPr>
                <w:sz w:val="20"/>
              </w:rPr>
              <w:t>- приети в края на 2019 г. промени в чл. 229 от в ЗОП, част от които засягат правомощията на изпълнителния директор на АОП във връзка с осъществяването на мониторинг на обществените поръчки (изменени са т. 14 и т. 24 в ал. 1, а ал. 4 и ал. 9 са д</w:t>
            </w:r>
            <w:r>
              <w:rPr>
                <w:sz w:val="20"/>
              </w:rPr>
              <w:t>опълнени);</w:t>
            </w:r>
          </w:p>
          <w:p w14:paraId="2E547658" w14:textId="77777777" w:rsidR="00C60676" w:rsidRPr="009160F1" w:rsidRDefault="00C60676" w:rsidP="00CD2606">
            <w:pPr>
              <w:spacing w:before="100"/>
              <w:rPr>
                <w:sz w:val="20"/>
              </w:rPr>
            </w:pPr>
            <w:r w:rsidRPr="009160F1">
              <w:rPr>
                <w:sz w:val="20"/>
              </w:rPr>
              <w:t>- изменение на чл. 114 от ППЗОП и създаване на приложение № 3 към същия член (в приложението е посочена информацията, която различните органи с функции, засягащи обществените поръчки, следва ежегодно да предоставят на АОП за целите на мониторинга).</w:t>
            </w:r>
          </w:p>
        </w:tc>
      </w:tr>
      <w:tr w:rsidR="00C60676" w:rsidRPr="0084467A" w14:paraId="1BBA05CF" w14:textId="77777777" w:rsidTr="00CD2606">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8E5715" w14:textId="77777777" w:rsidR="00C60676" w:rsidRPr="0084467A" w:rsidRDefault="00C60676" w:rsidP="00CD2606">
            <w:pPr>
              <w:spacing w:before="100"/>
              <w:jc w:val="both"/>
              <w:rPr>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AF8B7C" w14:textId="77777777" w:rsidR="00C60676" w:rsidRPr="0084467A" w:rsidRDefault="00C60676" w:rsidP="00CD2606">
            <w:pPr>
              <w:spacing w:before="100"/>
              <w:jc w:val="both"/>
              <w:rPr>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86D921" w14:textId="77777777" w:rsidR="00C60676" w:rsidRPr="0084467A" w:rsidRDefault="00C60676" w:rsidP="00CD2606">
            <w:pPr>
              <w:spacing w:before="100"/>
              <w:jc w:val="both"/>
              <w:rPr>
                <w:sz w:val="20"/>
              </w:rPr>
            </w:pPr>
            <w:r w:rsidRPr="0084467A">
              <w:rPr>
                <w:sz w:val="20"/>
              </w:rPr>
              <w:t>2. Мерки за гарантиране, че данните обхващат най-малко следните елементи:</w:t>
            </w:r>
          </w:p>
          <w:p w14:paraId="0044B2F7" w14:textId="77777777" w:rsidR="00C60676" w:rsidRPr="0084467A" w:rsidRDefault="00C60676" w:rsidP="00CD2606">
            <w:pPr>
              <w:spacing w:before="100"/>
              <w:jc w:val="both"/>
              <w:rPr>
                <w:sz w:val="20"/>
              </w:rPr>
            </w:pPr>
            <w:r w:rsidRPr="0084467A">
              <w:rPr>
                <w:sz w:val="20"/>
              </w:rPr>
              <w:t>a) качество и интензивност на конкуренцията: имена/наименование на спечелилия търга, брой на първоначалните кандидати и стойност на договора;</w:t>
            </w:r>
          </w:p>
          <w:p w14:paraId="66925777" w14:textId="77777777" w:rsidR="00C60676" w:rsidRPr="0084467A" w:rsidRDefault="00C60676" w:rsidP="00CD2606">
            <w:pPr>
              <w:spacing w:before="100"/>
              <w:jc w:val="both"/>
              <w:rPr>
                <w:sz w:val="20"/>
              </w:rPr>
            </w:pPr>
            <w:r w:rsidRPr="0084467A">
              <w:rPr>
                <w:sz w:val="20"/>
              </w:rPr>
              <w:t>б) информация за крайната цена след приключването и за участието на МСП като преки оференти, когато националните системи предоставят такава информация.</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3250BE" w14:textId="77777777" w:rsidR="00C60676" w:rsidRPr="0084467A" w:rsidRDefault="00C60676" w:rsidP="00CD2606">
            <w:pPr>
              <w:spacing w:before="100"/>
              <w:jc w:val="both"/>
              <w:rPr>
                <w:sz w:val="20"/>
              </w:rPr>
            </w:pPr>
            <w:r w:rsidRPr="0084467A">
              <w:rPr>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504917" w14:textId="77777777" w:rsidR="00C60676" w:rsidRPr="0084467A" w:rsidRDefault="00C60676" w:rsidP="00CD2606">
            <w:pPr>
              <w:spacing w:before="100"/>
              <w:ind w:left="71" w:right="130"/>
              <w:jc w:val="both"/>
              <w:rPr>
                <w:sz w:val="20"/>
                <w:szCs w:val="20"/>
                <w:lang w:eastAsia="en-GB"/>
              </w:rPr>
            </w:pPr>
            <w:r w:rsidRPr="0084467A">
              <w:rPr>
                <w:sz w:val="20"/>
                <w:szCs w:val="20"/>
                <w:lang w:eastAsia="en-GB"/>
              </w:rPr>
              <w:t>Постановление № 49 от 23 март 2020 г. за изменение и допълнение на Правилника за прилагане на Закона за обществените поръчки, приет с Постановление № 73 на Министерския съвет от 2016 г. (ДВ, бр. 28 от 2016 г.) – обн., ДВ. бр. 29/2020 г., в сила от 01.04.2020 г.</w:t>
            </w:r>
          </w:p>
          <w:p w14:paraId="2310B672" w14:textId="77777777" w:rsidR="00C60676" w:rsidRPr="0084467A" w:rsidRDefault="00C60676" w:rsidP="00CD2606">
            <w:pPr>
              <w:spacing w:before="100"/>
              <w:jc w:val="both"/>
              <w:rPr>
                <w:sz w:val="20"/>
                <w:szCs w:val="20"/>
              </w:rPr>
            </w:pPr>
          </w:p>
          <w:p w14:paraId="53340B01" w14:textId="77777777" w:rsidR="00C60676" w:rsidRPr="009160F1" w:rsidRDefault="00C60676" w:rsidP="00CD2606">
            <w:pPr>
              <w:spacing w:before="100"/>
              <w:jc w:val="both"/>
              <w:rPr>
                <w:sz w:val="20"/>
                <w:szCs w:val="20"/>
              </w:rPr>
            </w:pPr>
            <w:r w:rsidRPr="009160F1">
              <w:rPr>
                <w:sz w:val="20"/>
                <w:szCs w:val="20"/>
              </w:rPr>
              <w:t xml:space="preserve">https://www.eufunds.bg/sites/default/files/uploads/eip/docs/2021-HEC1.pdf </w:t>
            </w:r>
          </w:p>
          <w:p w14:paraId="0E971A8E" w14:textId="77777777" w:rsidR="00C60676" w:rsidRPr="0084467A" w:rsidRDefault="00C60676" w:rsidP="00CD2606">
            <w:pPr>
              <w:spacing w:before="100"/>
              <w:jc w:val="both"/>
              <w:rPr>
                <w:sz w:val="20"/>
              </w:rPr>
            </w:pPr>
          </w:p>
          <w:p w14:paraId="55E2705C" w14:textId="77777777" w:rsidR="00C60676" w:rsidRPr="0084467A" w:rsidRDefault="00C60676" w:rsidP="00CD2606">
            <w:pPr>
              <w:spacing w:before="100"/>
              <w:jc w:val="both"/>
              <w:rPr>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FD4ACB" w14:textId="77777777" w:rsidR="00C60676" w:rsidRPr="0084467A" w:rsidRDefault="00C60676" w:rsidP="00CD2606">
            <w:pPr>
              <w:spacing w:before="100"/>
              <w:ind w:left="71" w:right="130"/>
              <w:jc w:val="both"/>
              <w:rPr>
                <w:sz w:val="20"/>
                <w:szCs w:val="20"/>
                <w:lang w:eastAsia="en-GB"/>
              </w:rPr>
            </w:pPr>
            <w:r w:rsidRPr="0084467A">
              <w:rPr>
                <w:sz w:val="20"/>
                <w:szCs w:val="20"/>
                <w:lang w:eastAsia="en-GB"/>
              </w:rPr>
              <w:lastRenderedPageBreak/>
              <w:t>Изградена е и функционира централизирана електронна система - ЦАИС ЕОП.</w:t>
            </w:r>
          </w:p>
          <w:p w14:paraId="122B31A1" w14:textId="77777777" w:rsidR="00C60676" w:rsidRPr="0084467A" w:rsidRDefault="00C60676" w:rsidP="00CD2606">
            <w:pPr>
              <w:spacing w:before="100"/>
              <w:ind w:left="71" w:right="130"/>
              <w:jc w:val="both"/>
              <w:rPr>
                <w:sz w:val="20"/>
                <w:szCs w:val="20"/>
                <w:lang w:eastAsia="en-GB"/>
              </w:rPr>
            </w:pPr>
            <w:r w:rsidRPr="0084467A">
              <w:rPr>
                <w:sz w:val="20"/>
                <w:szCs w:val="20"/>
                <w:lang w:eastAsia="en-GB"/>
              </w:rPr>
              <w:t>Съгласно чл. 39а от ЗОП, тя се използва при възлагането на обществени поръчки, включително чрез динамична система за покупки, рамково споразумение и квалификационна система, както и при провеждане на конкурси за проект.</w:t>
            </w:r>
          </w:p>
          <w:p w14:paraId="1E1BA5E9" w14:textId="77777777" w:rsidR="00C60676" w:rsidRPr="0084467A" w:rsidRDefault="00C60676" w:rsidP="00CD2606">
            <w:pPr>
              <w:spacing w:before="100"/>
              <w:ind w:left="71" w:right="130"/>
              <w:jc w:val="both"/>
              <w:rPr>
                <w:sz w:val="20"/>
                <w:szCs w:val="20"/>
                <w:lang w:eastAsia="en-GB"/>
              </w:rPr>
            </w:pPr>
            <w:r w:rsidRPr="0084467A">
              <w:rPr>
                <w:sz w:val="20"/>
                <w:szCs w:val="20"/>
                <w:lang w:eastAsia="en-GB"/>
              </w:rPr>
              <w:t xml:space="preserve">Считано от 1 януари 2020 г., използването на ЦАИС ЕОП е </w:t>
            </w:r>
            <w:r w:rsidRPr="0084467A">
              <w:rPr>
                <w:sz w:val="20"/>
                <w:szCs w:val="20"/>
                <w:lang w:eastAsia="en-GB"/>
              </w:rPr>
              <w:lastRenderedPageBreak/>
              <w:t>задължително за определени групи възложители, а от 14 юни 2020 г.– и за останалите възложители.</w:t>
            </w:r>
          </w:p>
          <w:p w14:paraId="25B8ACDE" w14:textId="77777777" w:rsidR="00C60676" w:rsidRPr="0084467A" w:rsidRDefault="00C60676" w:rsidP="00CD2606">
            <w:pPr>
              <w:spacing w:before="100"/>
              <w:ind w:left="71" w:right="130"/>
              <w:jc w:val="both"/>
              <w:rPr>
                <w:sz w:val="20"/>
                <w:szCs w:val="20"/>
                <w:lang w:eastAsia="en-GB"/>
              </w:rPr>
            </w:pPr>
            <w:r w:rsidRPr="0084467A">
              <w:rPr>
                <w:sz w:val="20"/>
                <w:szCs w:val="20"/>
                <w:lang w:eastAsia="en-GB"/>
              </w:rPr>
              <w:t>Системата е съставена от 32 модула, част от които възложителите  са длъжни да използват (Електронна регистрация, Електронно обявяване, Електронен подател, Електронна документация, ЕЕДОП, Обмен на информация в хода на процедурата, Електронна оферта, Отваряне на оферти и заявления за участие, Динамична система за покупки, Квалификационна система, Провеждане на вътрешен конкурентен избор по Рамково споразумение, Електронен каталог, Електронно фактуриране и др.).</w:t>
            </w:r>
          </w:p>
          <w:p w14:paraId="38CC9698" w14:textId="77777777" w:rsidR="00C60676" w:rsidRPr="0084467A" w:rsidRDefault="00C60676" w:rsidP="00CD2606">
            <w:pPr>
              <w:spacing w:before="100"/>
              <w:jc w:val="both"/>
              <w:rPr>
                <w:sz w:val="20"/>
              </w:rPr>
            </w:pPr>
            <w:r w:rsidRPr="0084467A">
              <w:rPr>
                <w:sz w:val="20"/>
                <w:szCs w:val="20"/>
                <w:lang w:eastAsia="en-GB"/>
              </w:rPr>
              <w:t>Проведени са обучения за работа с ЦАИС ЕОП, предназначени за различни целеви групи. Осигурено е и предоставяне на практическа помощ на ползвателите на системата, включително чрез създадения през 2019 г. Център за обслужване на потребители.</w:t>
            </w:r>
          </w:p>
        </w:tc>
      </w:tr>
      <w:tr w:rsidR="00C60676" w:rsidRPr="0084467A" w14:paraId="2987826C" w14:textId="77777777" w:rsidTr="00CD2606">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7D9FB4" w14:textId="77777777" w:rsidR="00C60676" w:rsidRPr="0084467A" w:rsidRDefault="00C60676" w:rsidP="00CD2606">
            <w:pPr>
              <w:spacing w:before="100"/>
              <w:jc w:val="both"/>
              <w:rPr>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649D7F" w14:textId="77777777" w:rsidR="00C60676" w:rsidRPr="0084467A" w:rsidRDefault="00C60676" w:rsidP="00CD2606">
            <w:pPr>
              <w:spacing w:before="100"/>
              <w:jc w:val="both"/>
              <w:rPr>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FAFA90" w14:textId="77777777" w:rsidR="00C60676" w:rsidRPr="0084467A" w:rsidRDefault="00C60676" w:rsidP="00CD2606">
            <w:pPr>
              <w:spacing w:before="100"/>
              <w:jc w:val="both"/>
              <w:rPr>
                <w:sz w:val="20"/>
              </w:rPr>
            </w:pPr>
            <w:r w:rsidRPr="0084467A">
              <w:rPr>
                <w:sz w:val="20"/>
              </w:rPr>
              <w:t>3. Мерки за гарантиране на мониторинга и анализа на данните от компетентните национални органи в съответствие с член 83, параграф 2 от Директива 2014/24/ЕС и член 99, параграф 2 от Директива 2014/25/ЕС.</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6B2F98" w14:textId="77777777" w:rsidR="00C60676" w:rsidRPr="0084467A" w:rsidRDefault="00C60676" w:rsidP="00CD2606">
            <w:pPr>
              <w:spacing w:before="100"/>
              <w:jc w:val="both"/>
              <w:rPr>
                <w:sz w:val="20"/>
              </w:rPr>
            </w:pPr>
            <w:r w:rsidRPr="0084467A">
              <w:rPr>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0DA66C" w14:textId="77777777" w:rsidR="00C60676" w:rsidRPr="0084467A" w:rsidRDefault="00C60676" w:rsidP="00CD2606">
            <w:pPr>
              <w:spacing w:before="100"/>
              <w:ind w:left="74" w:right="130"/>
              <w:contextualSpacing/>
              <w:jc w:val="both"/>
              <w:rPr>
                <w:sz w:val="20"/>
                <w:szCs w:val="20"/>
                <w:lang w:eastAsia="en-GB"/>
              </w:rPr>
            </w:pPr>
            <w:r w:rsidRPr="0084467A">
              <w:rPr>
                <w:sz w:val="20"/>
                <w:szCs w:val="20"/>
                <w:lang w:eastAsia="en-GB"/>
              </w:rPr>
              <w:t>Централизираната автоматизирана информационна система „Електронни обществени поръчки“ (ЦАИС ЕОП):</w:t>
            </w:r>
          </w:p>
          <w:p w14:paraId="2AB64CA9" w14:textId="77777777" w:rsidR="00C60676" w:rsidRPr="0084467A" w:rsidRDefault="00C60676" w:rsidP="00CD2606">
            <w:pPr>
              <w:spacing w:before="100"/>
              <w:ind w:left="74" w:right="130"/>
              <w:contextualSpacing/>
              <w:jc w:val="both"/>
              <w:rPr>
                <w:color w:val="FF0000"/>
                <w:sz w:val="21"/>
                <w:szCs w:val="21"/>
                <w:lang w:eastAsia="en-GB"/>
              </w:rPr>
            </w:pPr>
          </w:p>
          <w:p w14:paraId="2EA7B78D" w14:textId="77777777" w:rsidR="00C60676" w:rsidRPr="00C60676" w:rsidRDefault="00DA6815" w:rsidP="00CD2606">
            <w:pPr>
              <w:spacing w:before="100"/>
              <w:ind w:left="74" w:right="130"/>
              <w:contextualSpacing/>
              <w:jc w:val="both"/>
              <w:rPr>
                <w:sz w:val="20"/>
                <w:szCs w:val="20"/>
                <w:lang w:val="de-DE" w:eastAsia="en-GB"/>
              </w:rPr>
            </w:pPr>
            <w:hyperlink r:id="rId66" w:history="1">
              <w:r w:rsidR="00C60676" w:rsidRPr="00C60676">
                <w:rPr>
                  <w:rStyle w:val="Hyperlink"/>
                  <w:sz w:val="20"/>
                  <w:szCs w:val="20"/>
                  <w:lang w:val="de-DE" w:eastAsia="en-GB"/>
                </w:rPr>
                <w:t>https://www.eop.bg</w:t>
              </w:r>
            </w:hyperlink>
          </w:p>
          <w:p w14:paraId="733972FD" w14:textId="77777777" w:rsidR="00C60676" w:rsidRPr="00C60676" w:rsidRDefault="00C60676" w:rsidP="00CD2606">
            <w:pPr>
              <w:spacing w:before="100"/>
              <w:ind w:left="74" w:right="130"/>
              <w:contextualSpacing/>
              <w:jc w:val="both"/>
              <w:rPr>
                <w:sz w:val="20"/>
                <w:szCs w:val="20"/>
                <w:lang w:val="de-DE" w:eastAsia="en-GB"/>
              </w:rPr>
            </w:pPr>
          </w:p>
          <w:p w14:paraId="7DFD3AC9" w14:textId="77777777" w:rsidR="00C60676" w:rsidRPr="00C60676" w:rsidRDefault="00C60676" w:rsidP="00CD2606">
            <w:pPr>
              <w:spacing w:before="100"/>
              <w:ind w:left="74" w:right="130"/>
              <w:contextualSpacing/>
              <w:jc w:val="both"/>
              <w:rPr>
                <w:sz w:val="20"/>
                <w:szCs w:val="20"/>
                <w:lang w:val="de-DE" w:eastAsia="en-GB"/>
              </w:rPr>
            </w:pPr>
            <w:r w:rsidRPr="00C60676">
              <w:rPr>
                <w:sz w:val="20"/>
                <w:szCs w:val="20"/>
                <w:lang w:val="de-DE" w:eastAsia="en-GB"/>
              </w:rPr>
              <w:t>•</w:t>
            </w:r>
            <w:r w:rsidRPr="00C60676">
              <w:rPr>
                <w:sz w:val="20"/>
                <w:szCs w:val="20"/>
                <w:lang w:val="de-DE" w:eastAsia="en-GB"/>
              </w:rPr>
              <w:tab/>
              <w:t xml:space="preserve">CAIS EPP – e-Registration: </w:t>
            </w:r>
          </w:p>
          <w:p w14:paraId="76C519FE" w14:textId="77777777" w:rsidR="00C60676" w:rsidRPr="0084467A" w:rsidRDefault="00DA6815" w:rsidP="00CD2606">
            <w:pPr>
              <w:spacing w:before="100"/>
              <w:ind w:left="74" w:right="130"/>
              <w:contextualSpacing/>
              <w:jc w:val="both"/>
              <w:rPr>
                <w:color w:val="FF0000"/>
                <w:sz w:val="21"/>
                <w:szCs w:val="21"/>
                <w:lang w:eastAsia="en-GB"/>
              </w:rPr>
            </w:pPr>
            <w:hyperlink r:id="rId67" w:history="1">
              <w:r w:rsidR="00C60676" w:rsidRPr="0084467A">
                <w:rPr>
                  <w:color w:val="0000FF"/>
                  <w:sz w:val="21"/>
                  <w:szCs w:val="21"/>
                  <w:lang w:eastAsia="en-GB"/>
                </w:rPr>
                <w:t>https://app.eop.bg/today</w:t>
              </w:r>
            </w:hyperlink>
            <w:r w:rsidR="00C60676" w:rsidRPr="0084467A">
              <w:rPr>
                <w:color w:val="FF0000"/>
                <w:sz w:val="21"/>
                <w:szCs w:val="21"/>
                <w:lang w:eastAsia="en-GB"/>
              </w:rPr>
              <w:t xml:space="preserve"> </w:t>
            </w:r>
          </w:p>
          <w:p w14:paraId="0283118D" w14:textId="77777777" w:rsidR="00C60676" w:rsidRPr="0084467A" w:rsidRDefault="00C60676" w:rsidP="00CD2606">
            <w:pPr>
              <w:spacing w:before="100"/>
              <w:ind w:left="74" w:right="130"/>
              <w:contextualSpacing/>
              <w:jc w:val="both"/>
              <w:rPr>
                <w:sz w:val="20"/>
                <w:szCs w:val="20"/>
                <w:lang w:eastAsia="en-GB"/>
              </w:rPr>
            </w:pPr>
            <w:r w:rsidRPr="0084467A">
              <w:rPr>
                <w:sz w:val="21"/>
                <w:szCs w:val="21"/>
                <w:lang w:eastAsia="en-GB"/>
              </w:rPr>
              <w:t>•</w:t>
            </w:r>
            <w:r w:rsidRPr="0084467A">
              <w:rPr>
                <w:color w:val="FF0000"/>
                <w:sz w:val="21"/>
                <w:szCs w:val="21"/>
                <w:lang w:eastAsia="en-GB"/>
              </w:rPr>
              <w:tab/>
            </w:r>
            <w:r w:rsidRPr="0084467A">
              <w:rPr>
                <w:sz w:val="20"/>
                <w:szCs w:val="20"/>
                <w:lang w:eastAsia="en-GB"/>
              </w:rPr>
              <w:t>CAIS EPP – Bulletin:</w:t>
            </w:r>
          </w:p>
          <w:p w14:paraId="7944ED77" w14:textId="77777777" w:rsidR="00C60676" w:rsidRPr="0084467A" w:rsidRDefault="00DA6815" w:rsidP="00CD2606">
            <w:pPr>
              <w:spacing w:before="100"/>
              <w:ind w:left="74" w:right="130"/>
              <w:contextualSpacing/>
              <w:jc w:val="both"/>
              <w:rPr>
                <w:color w:val="FF0000"/>
                <w:sz w:val="21"/>
                <w:szCs w:val="21"/>
                <w:lang w:eastAsia="en-GB"/>
              </w:rPr>
            </w:pPr>
            <w:hyperlink r:id="rId68" w:history="1">
              <w:r w:rsidR="00C60676" w:rsidRPr="0084467A">
                <w:rPr>
                  <w:color w:val="0000FF"/>
                  <w:sz w:val="21"/>
                  <w:szCs w:val="21"/>
                  <w:lang w:eastAsia="en-GB"/>
                </w:rPr>
                <w:t>https://app.eop.bg/today/reporting/bulletin</w:t>
              </w:r>
            </w:hyperlink>
            <w:r w:rsidR="00C60676" w:rsidRPr="0084467A">
              <w:rPr>
                <w:color w:val="FF0000"/>
                <w:sz w:val="21"/>
                <w:szCs w:val="21"/>
                <w:lang w:eastAsia="en-GB"/>
              </w:rPr>
              <w:t xml:space="preserve"> </w:t>
            </w:r>
          </w:p>
          <w:p w14:paraId="6456E49E" w14:textId="77777777" w:rsidR="00C60676" w:rsidRPr="0084467A" w:rsidRDefault="00C60676" w:rsidP="00CD2606">
            <w:pPr>
              <w:spacing w:before="100"/>
              <w:ind w:left="74" w:right="130"/>
              <w:contextualSpacing/>
              <w:jc w:val="both"/>
              <w:rPr>
                <w:sz w:val="20"/>
                <w:szCs w:val="20"/>
                <w:lang w:eastAsia="en-GB"/>
              </w:rPr>
            </w:pPr>
            <w:r w:rsidRPr="0084467A">
              <w:rPr>
                <w:sz w:val="20"/>
                <w:szCs w:val="20"/>
                <w:lang w:eastAsia="en-GB"/>
              </w:rPr>
              <w:t>•</w:t>
            </w:r>
            <w:r w:rsidRPr="0084467A">
              <w:rPr>
                <w:sz w:val="20"/>
                <w:szCs w:val="20"/>
                <w:lang w:eastAsia="en-GB"/>
              </w:rPr>
              <w:tab/>
              <w:t>CAIS EPP – Statistics:</w:t>
            </w:r>
          </w:p>
          <w:p w14:paraId="748D7203" w14:textId="77777777" w:rsidR="00C60676" w:rsidRPr="0084467A" w:rsidRDefault="00DA6815" w:rsidP="00CD2606">
            <w:pPr>
              <w:spacing w:before="100"/>
              <w:ind w:left="74" w:right="130"/>
              <w:contextualSpacing/>
              <w:jc w:val="both"/>
              <w:rPr>
                <w:color w:val="FF0000"/>
                <w:sz w:val="21"/>
                <w:szCs w:val="21"/>
                <w:lang w:eastAsia="en-GB"/>
              </w:rPr>
            </w:pPr>
            <w:hyperlink r:id="rId69" w:history="1">
              <w:r w:rsidR="00C60676" w:rsidRPr="0084467A">
                <w:rPr>
                  <w:color w:val="0000FF"/>
                  <w:sz w:val="21"/>
                  <w:szCs w:val="21"/>
                  <w:lang w:eastAsia="en-GB"/>
                </w:rPr>
                <w:t>https://app.eop.bg/today/reporting/statistics</w:t>
              </w:r>
            </w:hyperlink>
            <w:r w:rsidR="00C60676" w:rsidRPr="0084467A">
              <w:rPr>
                <w:color w:val="FF0000"/>
                <w:sz w:val="21"/>
                <w:szCs w:val="21"/>
                <w:lang w:eastAsia="en-GB"/>
              </w:rPr>
              <w:t xml:space="preserve"> </w:t>
            </w:r>
          </w:p>
          <w:p w14:paraId="715BDD84" w14:textId="77777777" w:rsidR="00C60676" w:rsidRPr="0084467A" w:rsidRDefault="00C60676" w:rsidP="00CD2606">
            <w:pPr>
              <w:spacing w:before="100"/>
              <w:ind w:left="74" w:right="130"/>
              <w:contextualSpacing/>
              <w:jc w:val="both"/>
              <w:rPr>
                <w:color w:val="FF0000"/>
                <w:sz w:val="21"/>
                <w:szCs w:val="21"/>
                <w:lang w:eastAsia="en-GB"/>
              </w:rPr>
            </w:pPr>
          </w:p>
          <w:p w14:paraId="6C4DF7AD" w14:textId="77777777" w:rsidR="00C60676" w:rsidRPr="0084467A" w:rsidRDefault="00C60676" w:rsidP="00CD2606">
            <w:pPr>
              <w:spacing w:before="100"/>
              <w:ind w:left="74" w:right="130"/>
              <w:contextualSpacing/>
              <w:jc w:val="both"/>
              <w:rPr>
                <w:color w:val="FF0000"/>
                <w:sz w:val="21"/>
                <w:szCs w:val="21"/>
                <w:lang w:eastAsia="en-GB"/>
              </w:rPr>
            </w:pPr>
          </w:p>
          <w:p w14:paraId="0623A941" w14:textId="77777777" w:rsidR="00C60676" w:rsidRPr="0084467A" w:rsidRDefault="00C60676" w:rsidP="00CD2606">
            <w:pPr>
              <w:spacing w:before="100"/>
              <w:jc w:val="both"/>
              <w:rPr>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20CA67" w14:textId="77777777" w:rsidR="00C60676" w:rsidRPr="0084467A" w:rsidRDefault="00C60676" w:rsidP="00CD2606">
            <w:pPr>
              <w:spacing w:before="100"/>
              <w:ind w:left="71" w:right="130"/>
              <w:jc w:val="both"/>
              <w:rPr>
                <w:bCs/>
                <w:iCs/>
                <w:sz w:val="20"/>
                <w:szCs w:val="20"/>
              </w:rPr>
            </w:pPr>
            <w:r w:rsidRPr="0084467A">
              <w:rPr>
                <w:bCs/>
                <w:iCs/>
                <w:sz w:val="20"/>
                <w:szCs w:val="20"/>
              </w:rPr>
              <w:lastRenderedPageBreak/>
              <w:t xml:space="preserve">Системата е съставена от 32 модула, част от които възложителите  са длъжни да използват (Електронна регистрация, Електронно обявяване, Електронен подател, Електронна документация, ЕЕДОП, Обмен на информация в хода на процедурата, Електронна оферта, Отваряне на оферти и заявления за участие, Динамична система за покупки, Квалификационна система, Провеждане на вътрешен конкурентен избор по Рамково споразумение, </w:t>
            </w:r>
            <w:r w:rsidRPr="0084467A">
              <w:rPr>
                <w:bCs/>
                <w:iCs/>
                <w:sz w:val="20"/>
                <w:szCs w:val="20"/>
              </w:rPr>
              <w:lastRenderedPageBreak/>
              <w:t>Електронен каталог, Електронно фактуриране и др.).</w:t>
            </w:r>
          </w:p>
          <w:p w14:paraId="02019635" w14:textId="77777777" w:rsidR="00C60676" w:rsidRPr="0084467A" w:rsidRDefault="00C60676" w:rsidP="00CD2606">
            <w:pPr>
              <w:spacing w:before="100"/>
              <w:ind w:left="71" w:right="130"/>
              <w:jc w:val="both"/>
              <w:rPr>
                <w:bCs/>
                <w:iCs/>
                <w:sz w:val="20"/>
                <w:szCs w:val="20"/>
              </w:rPr>
            </w:pPr>
            <w:r w:rsidRPr="0084467A">
              <w:rPr>
                <w:bCs/>
                <w:iCs/>
                <w:sz w:val="20"/>
                <w:szCs w:val="20"/>
              </w:rPr>
              <w:t xml:space="preserve">Проведени са обучения за работа с ЦАИС ЕОП, предназначени за различни целеви групи. Осигурено е и предоставяне на практическа помощ на ползвателите на системата, включително чрез създадения през 2019 г. Център за обслужване на потребители. </w:t>
            </w:r>
          </w:p>
          <w:p w14:paraId="11EC18FE" w14:textId="77777777" w:rsidR="00C60676" w:rsidRPr="0084467A" w:rsidRDefault="00C60676" w:rsidP="00CD2606">
            <w:pPr>
              <w:spacing w:before="100"/>
              <w:ind w:left="71" w:right="130"/>
              <w:jc w:val="both"/>
              <w:rPr>
                <w:sz w:val="20"/>
              </w:rPr>
            </w:pPr>
          </w:p>
        </w:tc>
      </w:tr>
      <w:tr w:rsidR="00C60676" w:rsidRPr="0084467A" w14:paraId="76D16BAB" w14:textId="77777777" w:rsidTr="00CD2606">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A331EA" w14:textId="77777777" w:rsidR="00C60676" w:rsidRPr="0084467A" w:rsidRDefault="00C60676" w:rsidP="00CD2606">
            <w:pPr>
              <w:spacing w:before="100"/>
              <w:jc w:val="both"/>
              <w:rPr>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BEBF30" w14:textId="77777777" w:rsidR="00C60676" w:rsidRPr="0084467A" w:rsidRDefault="00C60676" w:rsidP="00CD2606">
            <w:pPr>
              <w:spacing w:before="100"/>
              <w:jc w:val="both"/>
              <w:rPr>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B984D4" w14:textId="77777777" w:rsidR="00C60676" w:rsidRPr="0084467A" w:rsidRDefault="00C60676" w:rsidP="00CD2606">
            <w:pPr>
              <w:spacing w:before="100"/>
              <w:jc w:val="both"/>
              <w:rPr>
                <w:sz w:val="20"/>
              </w:rPr>
            </w:pPr>
            <w:r w:rsidRPr="0084467A">
              <w:rPr>
                <w:sz w:val="20"/>
              </w:rPr>
              <w:t>4. Мерки, с които да се оповестяват публично резултатите от анализа в съответствие с член 83, параграф 3 от Директива 2014/24/ЕС и член 99, параграф 3 от Директива 2014/25/ЕС.</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29A48A" w14:textId="77777777" w:rsidR="00C60676" w:rsidRPr="0084467A" w:rsidRDefault="00C60676" w:rsidP="00CD2606">
            <w:pPr>
              <w:spacing w:before="100"/>
              <w:jc w:val="both"/>
              <w:rPr>
                <w:sz w:val="20"/>
              </w:rPr>
            </w:pPr>
            <w:r w:rsidRPr="0084467A">
              <w:rPr>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9A0EB6" w14:textId="77777777" w:rsidR="00C60676" w:rsidRPr="0084467A" w:rsidRDefault="00C60676" w:rsidP="00CD2606">
            <w:pPr>
              <w:spacing w:before="100"/>
              <w:jc w:val="both"/>
              <w:rPr>
                <w:sz w:val="20"/>
                <w:szCs w:val="20"/>
                <w:lang w:eastAsia="en-GB"/>
              </w:rPr>
            </w:pPr>
            <w:r w:rsidRPr="0084467A">
              <w:rPr>
                <w:sz w:val="20"/>
                <w:szCs w:val="20"/>
                <w:lang w:eastAsia="en-GB"/>
              </w:rPr>
              <w:t>Регистър  на обществените поръчки,  открити преди задължителното използване на ЦАИС ЕОП:</w:t>
            </w:r>
          </w:p>
          <w:p w14:paraId="36332805" w14:textId="77777777" w:rsidR="00C60676" w:rsidRPr="0084467A" w:rsidRDefault="00DA6815" w:rsidP="00CD2606">
            <w:pPr>
              <w:spacing w:before="100"/>
              <w:jc w:val="both"/>
              <w:rPr>
                <w:sz w:val="20"/>
              </w:rPr>
            </w:pPr>
            <w:hyperlink r:id="rId70" w:history="1">
              <w:r w:rsidR="00C60676" w:rsidRPr="0084467A">
                <w:rPr>
                  <w:sz w:val="20"/>
                  <w:szCs w:val="20"/>
                  <w:lang w:eastAsia="en-GB"/>
                </w:rPr>
                <w:t>https://www.aop.bg</w:t>
              </w:r>
            </w:hyperlink>
            <w:r w:rsidR="00C60676" w:rsidRPr="0084467A">
              <w:rPr>
                <w:sz w:val="21"/>
                <w:szCs w:val="21"/>
                <w:lang w:eastAsia="en-GB"/>
              </w:rPr>
              <w:t xml:space="preserve"> </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9321BA" w14:textId="77777777" w:rsidR="00C60676" w:rsidRPr="0084467A" w:rsidRDefault="00C60676" w:rsidP="00CD2606">
            <w:pPr>
              <w:spacing w:before="100"/>
              <w:ind w:right="130"/>
              <w:jc w:val="both"/>
              <w:rPr>
                <w:bCs/>
                <w:iCs/>
                <w:sz w:val="20"/>
                <w:szCs w:val="20"/>
              </w:rPr>
            </w:pPr>
            <w:r w:rsidRPr="0084467A">
              <w:rPr>
                <w:bCs/>
                <w:iCs/>
                <w:sz w:val="20"/>
                <w:szCs w:val="20"/>
              </w:rPr>
              <w:t>Вж. посочената информация срещу критериите по т. 1-4.</w:t>
            </w:r>
          </w:p>
          <w:p w14:paraId="1E81DB93" w14:textId="77777777" w:rsidR="00C60676" w:rsidRPr="0084467A" w:rsidRDefault="00C60676" w:rsidP="00CD2606">
            <w:pPr>
              <w:spacing w:before="100"/>
              <w:jc w:val="both"/>
              <w:rPr>
                <w:sz w:val="20"/>
              </w:rPr>
            </w:pPr>
            <w:r w:rsidRPr="0084467A">
              <w:rPr>
                <w:bCs/>
                <w:iCs/>
                <w:sz w:val="20"/>
                <w:szCs w:val="20"/>
              </w:rPr>
              <w:t>В допълнение, чл. 229, ал. 1, т. 14 и 24 и ал. 9 от ЗОП и чл. 114, ал. 5 от ППЗОП.</w:t>
            </w:r>
          </w:p>
        </w:tc>
      </w:tr>
      <w:tr w:rsidR="00C60676" w:rsidRPr="0084467A" w14:paraId="1F93A9AC" w14:textId="77777777" w:rsidTr="00CD2606">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1C7415" w14:textId="77777777" w:rsidR="00C60676" w:rsidRPr="0084467A" w:rsidRDefault="00C60676" w:rsidP="00CD2606">
            <w:pPr>
              <w:spacing w:before="100"/>
              <w:jc w:val="both"/>
              <w:rPr>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9E384C" w14:textId="77777777" w:rsidR="00C60676" w:rsidRPr="0084467A" w:rsidRDefault="00C60676" w:rsidP="00CD2606">
            <w:pPr>
              <w:spacing w:before="100"/>
              <w:jc w:val="both"/>
              <w:rPr>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E2A050" w14:textId="77777777" w:rsidR="00C60676" w:rsidRPr="0084467A" w:rsidRDefault="00C60676" w:rsidP="00CD2606">
            <w:pPr>
              <w:spacing w:before="100"/>
              <w:jc w:val="both"/>
              <w:rPr>
                <w:sz w:val="20"/>
              </w:rPr>
            </w:pPr>
            <w:r w:rsidRPr="0084467A">
              <w:rPr>
                <w:sz w:val="20"/>
              </w:rPr>
              <w:t>5. Мерки, с които да се гарантира, че цялата информация, сочеща към предполагаеми случаи на тръжна манипулация, се съобщава на компетентните национални органи в съответствие с член 83, параграф 2 от Директива 2014/24/ЕС и член 99, параграф 2 от Директива 2014/25/ЕС.</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2CFBB3" w14:textId="77777777" w:rsidR="00C60676" w:rsidRPr="0084467A" w:rsidRDefault="00C60676" w:rsidP="00CD2606">
            <w:pPr>
              <w:spacing w:before="100"/>
              <w:jc w:val="both"/>
              <w:rPr>
                <w:sz w:val="20"/>
              </w:rPr>
            </w:pPr>
            <w:r w:rsidRPr="0084467A">
              <w:rPr>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0C54F" w14:textId="77777777" w:rsidR="00C60676" w:rsidRPr="0084467A" w:rsidRDefault="00C60676" w:rsidP="00CD2606">
            <w:pPr>
              <w:spacing w:before="100"/>
              <w:ind w:left="71" w:right="130"/>
              <w:jc w:val="both"/>
              <w:rPr>
                <w:sz w:val="20"/>
                <w:szCs w:val="20"/>
                <w:lang w:eastAsia="en-GB"/>
              </w:rPr>
            </w:pPr>
            <w:r w:rsidRPr="0084467A">
              <w:rPr>
                <w:sz w:val="20"/>
                <w:szCs w:val="20"/>
                <w:lang w:eastAsia="en-GB"/>
              </w:rPr>
              <w:t>Закон за обществените поръчки /ЗОП/ -  чл. 106, ал. 2 и 7,</w:t>
            </w:r>
          </w:p>
          <w:p w14:paraId="5C5E6C3F" w14:textId="77777777" w:rsidR="00C60676" w:rsidRPr="0084467A" w:rsidRDefault="00C60676" w:rsidP="00CD2606">
            <w:pPr>
              <w:spacing w:before="100"/>
              <w:ind w:left="71" w:right="130"/>
              <w:jc w:val="both"/>
              <w:rPr>
                <w:sz w:val="20"/>
                <w:szCs w:val="20"/>
                <w:lang w:eastAsia="en-GB"/>
              </w:rPr>
            </w:pPr>
            <w:r w:rsidRPr="0084467A">
              <w:rPr>
                <w:sz w:val="20"/>
                <w:szCs w:val="20"/>
                <w:lang w:eastAsia="en-GB"/>
              </w:rPr>
              <w:t>Правилник за прилагане на Закона за обществените поръчки /ППЗОП/ - Приложение № 3 към чл. 114, ал. 2</w:t>
            </w:r>
          </w:p>
          <w:p w14:paraId="2D6B932A" w14:textId="77777777" w:rsidR="00C60676" w:rsidRPr="0084467A" w:rsidRDefault="00C60676" w:rsidP="00CD2606">
            <w:pPr>
              <w:spacing w:before="100"/>
              <w:ind w:left="71" w:right="130"/>
              <w:jc w:val="both"/>
              <w:rPr>
                <w:sz w:val="20"/>
                <w:szCs w:val="20"/>
                <w:lang w:eastAsia="en-GB"/>
              </w:rPr>
            </w:pPr>
            <w:r w:rsidRPr="0084467A">
              <w:rPr>
                <w:sz w:val="20"/>
                <w:szCs w:val="20"/>
                <w:lang w:eastAsia="en-GB"/>
              </w:rPr>
              <w:t xml:space="preserve">(ново - ДВ, бр. 29 от 2020 г., в сила от 01.04.2020 г.), част Б, т. 17 </w:t>
            </w:r>
          </w:p>
          <w:p w14:paraId="12F989C7" w14:textId="77777777" w:rsidR="00C60676" w:rsidRPr="0084467A" w:rsidRDefault="00C60676" w:rsidP="00CD2606">
            <w:pPr>
              <w:spacing w:before="100"/>
              <w:ind w:left="71" w:right="130"/>
              <w:jc w:val="both"/>
              <w:rPr>
                <w:sz w:val="20"/>
                <w:szCs w:val="20"/>
                <w:lang w:eastAsia="en-GB"/>
              </w:rPr>
            </w:pPr>
            <w:r w:rsidRPr="0084467A">
              <w:rPr>
                <w:sz w:val="20"/>
                <w:szCs w:val="20"/>
                <w:lang w:eastAsia="en-GB"/>
              </w:rPr>
              <w:t>Закон за защита на конкуренцията /ЗЗК/: https://www.cpc.bg/General/Legislation.aspx</w:t>
            </w:r>
          </w:p>
          <w:p w14:paraId="0A2750C4" w14:textId="77777777" w:rsidR="00C60676" w:rsidRPr="0084467A" w:rsidRDefault="00C60676" w:rsidP="00CD2606">
            <w:pPr>
              <w:spacing w:before="100"/>
              <w:jc w:val="both"/>
              <w:rPr>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522EE5" w14:textId="77777777" w:rsidR="00C60676" w:rsidRPr="0084467A" w:rsidRDefault="00C60676" w:rsidP="00CD2606">
            <w:pPr>
              <w:spacing w:before="100"/>
              <w:ind w:right="130"/>
              <w:jc w:val="both"/>
              <w:rPr>
                <w:bCs/>
                <w:iCs/>
                <w:sz w:val="20"/>
                <w:szCs w:val="20"/>
              </w:rPr>
            </w:pPr>
            <w:r w:rsidRPr="0084467A">
              <w:rPr>
                <w:bCs/>
                <w:iCs/>
                <w:sz w:val="20"/>
                <w:szCs w:val="20"/>
              </w:rPr>
              <w:t>Вж. чл. 106, ал. 2 и 7 от ЗОП и Приложение № 3 към чл. 114, ал.  2  от ППЗОП (ново - ДВ, бр. 29 от 2020 г., в сила от 01.04.2020 г.) /част Б, т. 17/;</w:t>
            </w:r>
          </w:p>
          <w:p w14:paraId="68DDC9CD" w14:textId="77777777" w:rsidR="00C60676" w:rsidRPr="0084467A" w:rsidRDefault="00C60676" w:rsidP="00CD2606">
            <w:pPr>
              <w:spacing w:before="100"/>
              <w:jc w:val="both"/>
              <w:rPr>
                <w:sz w:val="20"/>
              </w:rPr>
            </w:pPr>
            <w:r w:rsidRPr="0084467A">
              <w:rPr>
                <w:bCs/>
                <w:iCs/>
                <w:sz w:val="20"/>
                <w:szCs w:val="20"/>
              </w:rPr>
              <w:t>чл. 15 и други свързани разпоредби от ЗЗК.</w:t>
            </w:r>
          </w:p>
        </w:tc>
      </w:tr>
      <w:tr w:rsidR="00C60676" w:rsidRPr="0084467A" w14:paraId="1DED71D6" w14:textId="77777777" w:rsidTr="00CD2606">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E0EA0C" w14:textId="77777777" w:rsidR="00C60676" w:rsidRPr="0084467A" w:rsidRDefault="00C60676" w:rsidP="00CD2606">
            <w:pPr>
              <w:spacing w:before="100"/>
              <w:jc w:val="both"/>
              <w:rPr>
                <w:sz w:val="20"/>
              </w:rPr>
            </w:pPr>
            <w:r w:rsidRPr="0084467A">
              <w:rPr>
                <w:sz w:val="20"/>
              </w:rPr>
              <w:t>3. Ефективно прилагане и изпълнение на Хартата на основните права</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7FC1E7" w14:textId="77777777" w:rsidR="00C60676" w:rsidRPr="0084467A" w:rsidRDefault="00C60676" w:rsidP="00CD2606">
            <w:pPr>
              <w:spacing w:before="100"/>
              <w:jc w:val="both"/>
              <w:rPr>
                <w:sz w:val="20"/>
              </w:rPr>
            </w:pPr>
            <w:r w:rsidRPr="0084467A">
              <w:rPr>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3E71FD" w14:textId="77777777" w:rsidR="00C60676" w:rsidRPr="0084467A" w:rsidRDefault="00C60676" w:rsidP="00CD2606">
            <w:pPr>
              <w:spacing w:before="100"/>
              <w:jc w:val="both"/>
              <w:rPr>
                <w:sz w:val="20"/>
              </w:rPr>
            </w:pPr>
            <w:r w:rsidRPr="0084467A">
              <w:rPr>
                <w:sz w:val="20"/>
              </w:rPr>
              <w:t>Налице са ефективни механизми за гарантиране на спазването на Хартата на основните права на Европейския съюз (наричана по-нататък „Хартата“), които включват:</w:t>
            </w:r>
          </w:p>
          <w:p w14:paraId="33A7E428" w14:textId="77777777" w:rsidR="00C60676" w:rsidRPr="0084467A" w:rsidRDefault="00C60676" w:rsidP="00CD2606">
            <w:pPr>
              <w:spacing w:before="100"/>
              <w:jc w:val="both"/>
              <w:rPr>
                <w:sz w:val="20"/>
              </w:rPr>
            </w:pPr>
            <w:r w:rsidRPr="0084467A">
              <w:rPr>
                <w:sz w:val="20"/>
              </w:rPr>
              <w:t xml:space="preserve">1.Мерки за осигуряване на съответствието на подкрепяните от </w:t>
            </w:r>
            <w:r w:rsidRPr="0084467A">
              <w:rPr>
                <w:sz w:val="20"/>
              </w:rPr>
              <w:lastRenderedPageBreak/>
              <w:t>фондовете програми и тяхното прилагане с приложимите разпоредби на Хартата.</w:t>
            </w:r>
          </w:p>
          <w:p w14:paraId="4AE8A5ED" w14:textId="77777777" w:rsidR="00C60676" w:rsidRPr="0084467A" w:rsidRDefault="00C60676" w:rsidP="00CD2606">
            <w:pPr>
              <w:spacing w:before="100"/>
              <w:jc w:val="both"/>
              <w:rPr>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32554E" w14:textId="77777777" w:rsidR="00C60676" w:rsidRPr="0084467A" w:rsidRDefault="00C60676" w:rsidP="00CD2606">
            <w:pPr>
              <w:spacing w:before="100"/>
              <w:jc w:val="both"/>
              <w:rPr>
                <w:sz w:val="20"/>
              </w:rPr>
            </w:pPr>
            <w:r w:rsidRPr="0084467A">
              <w:rPr>
                <w:sz w:val="20"/>
              </w:rPr>
              <w:lastRenderedPageBreak/>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FF73DE" w14:textId="246A492B" w:rsidR="00C60676" w:rsidRPr="0084467A" w:rsidRDefault="00C60676" w:rsidP="00CD2606">
            <w:pPr>
              <w:spacing w:before="100"/>
              <w:jc w:val="both"/>
              <w:rPr>
                <w:sz w:val="20"/>
                <w:szCs w:val="20"/>
                <w:lang w:eastAsia="en-GB"/>
              </w:rPr>
            </w:pPr>
            <w:r w:rsidRPr="0084467A">
              <w:rPr>
                <w:sz w:val="20"/>
                <w:szCs w:val="20"/>
                <w:lang w:eastAsia="en-GB"/>
              </w:rPr>
              <w:t xml:space="preserve">Насоки за прилагане на Хартата на основните права на ЕС от органите по управление, контрол и одит  на програмите, съфинансирани със средства  от ЕФРР, ЕСФ+, </w:t>
            </w:r>
            <w:r w:rsidR="00797580">
              <w:rPr>
                <w:sz w:val="20"/>
                <w:szCs w:val="20"/>
                <w:lang w:eastAsia="en-GB"/>
              </w:rPr>
              <w:t>КФ, ФСП, ЕФМДРА, ФУМИ, ФВС и И</w:t>
            </w:r>
            <w:r w:rsidRPr="0084467A">
              <w:rPr>
                <w:sz w:val="20"/>
                <w:szCs w:val="20"/>
                <w:lang w:eastAsia="en-GB"/>
              </w:rPr>
              <w:t xml:space="preserve">УГВП за програмен период 2021 – 2027 г., </w:t>
            </w:r>
            <w:r w:rsidRPr="0084467A">
              <w:rPr>
                <w:sz w:val="20"/>
                <w:szCs w:val="20"/>
                <w:lang w:eastAsia="en-GB"/>
              </w:rPr>
              <w:lastRenderedPageBreak/>
              <w:t>утвърдени със Заповед на заместник министър-председателя по еврофондовете и министър на финансите № В-105/19.07.2022 г.:</w:t>
            </w:r>
          </w:p>
          <w:p w14:paraId="7E0CE004" w14:textId="77777777" w:rsidR="00C60676" w:rsidRPr="0084467A" w:rsidRDefault="00DA6815" w:rsidP="00CD2606">
            <w:pPr>
              <w:spacing w:before="100"/>
              <w:jc w:val="both"/>
              <w:rPr>
                <w:sz w:val="20"/>
                <w:szCs w:val="20"/>
                <w:lang w:eastAsia="en-GB"/>
              </w:rPr>
            </w:pPr>
            <w:hyperlink r:id="rId71" w:history="1">
              <w:r w:rsidR="00C60676" w:rsidRPr="0084467A">
                <w:rPr>
                  <w:sz w:val="20"/>
                  <w:szCs w:val="20"/>
                  <w:lang w:eastAsia="en-GB"/>
                </w:rPr>
                <w:t>https://www.eufunds.bg/bg/node/8223</w:t>
              </w:r>
            </w:hyperlink>
          </w:p>
          <w:p w14:paraId="4EFAE786" w14:textId="77777777" w:rsidR="00C60676" w:rsidRPr="0084467A" w:rsidRDefault="00C60676" w:rsidP="00CD2606">
            <w:pPr>
              <w:spacing w:before="100"/>
              <w:jc w:val="both"/>
              <w:rPr>
                <w:sz w:val="20"/>
              </w:rPr>
            </w:pPr>
          </w:p>
          <w:p w14:paraId="0A90D314" w14:textId="77777777" w:rsidR="00C60676" w:rsidRPr="0084467A" w:rsidRDefault="00C60676" w:rsidP="00CD2606">
            <w:pPr>
              <w:spacing w:before="100"/>
              <w:jc w:val="both"/>
              <w:rPr>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FE601C" w14:textId="0FF592CA" w:rsidR="00C60676" w:rsidRPr="0084467A" w:rsidRDefault="00C60676" w:rsidP="00CD2606">
            <w:pPr>
              <w:spacing w:before="100"/>
              <w:ind w:left="71" w:right="130"/>
              <w:jc w:val="both"/>
              <w:rPr>
                <w:sz w:val="20"/>
                <w:szCs w:val="20"/>
                <w:lang w:eastAsia="en-GB"/>
              </w:rPr>
            </w:pPr>
            <w:r w:rsidRPr="0084467A">
              <w:rPr>
                <w:sz w:val="20"/>
                <w:szCs w:val="20"/>
                <w:lang w:eastAsia="en-GB"/>
              </w:rPr>
              <w:lastRenderedPageBreak/>
              <w:t xml:space="preserve">Утвърдени са национални Насоки за прилагане на Хартата. Целта им е подпомагане на органите по управление, контрол и одит по програмите, съфинансирани от ЕФРР, ЕСФ+, </w:t>
            </w:r>
            <w:r w:rsidR="00797580">
              <w:rPr>
                <w:sz w:val="20"/>
                <w:szCs w:val="20"/>
                <w:lang w:eastAsia="en-GB"/>
              </w:rPr>
              <w:t>КФ, ФСП, EФМДРА, ФУМИ, ФВС и И</w:t>
            </w:r>
            <w:r w:rsidRPr="0084467A">
              <w:rPr>
                <w:sz w:val="20"/>
                <w:szCs w:val="20"/>
                <w:lang w:eastAsia="en-GB"/>
              </w:rPr>
              <w:t xml:space="preserve">УГВП в практическото </w:t>
            </w:r>
            <w:r w:rsidRPr="0084467A">
              <w:rPr>
                <w:sz w:val="20"/>
                <w:szCs w:val="20"/>
                <w:lang w:eastAsia="en-GB"/>
              </w:rPr>
              <w:lastRenderedPageBreak/>
              <w:t xml:space="preserve">прилагане и гарантиране на Хартата. Националните органи следва да разработят и инкоропрират в правилата си за работа процедури за проверка на правата от Хартата и да доклават на КН случаите на несъотетсвие и жалби в контекста на изпълнението на фондовете.  </w:t>
            </w:r>
          </w:p>
          <w:p w14:paraId="69B9F4B3" w14:textId="77777777" w:rsidR="00C60676" w:rsidRPr="0084467A" w:rsidRDefault="00C60676" w:rsidP="00CD2606">
            <w:pPr>
              <w:spacing w:before="100"/>
              <w:jc w:val="both"/>
              <w:rPr>
                <w:sz w:val="20"/>
                <w:szCs w:val="20"/>
              </w:rPr>
            </w:pPr>
            <w:r w:rsidRPr="0084467A">
              <w:rPr>
                <w:sz w:val="20"/>
                <w:szCs w:val="20"/>
                <w:lang w:eastAsia="en-GB"/>
              </w:rPr>
              <w:t>Насоките включват: Приложение № 1, в което са изведени трите етапа на изпълнение на фондовете, отговорните национални органи, както и приложимият набор права от Хартата, които следва да бъдат гарантирани; Приложение № 2, чрез което се прави проверка за потенциално нарушение на основните права по Хартата при извършването на действията и/или подготовката на документите и Приложение № 3, в което са посочени компетентните органи на национално ниво по основните права на ЕС. Изискванията на Насоките и приложенията към тях ще бъдат инкорпорирани в описанието на системите за управление и контрол на програмите.</w:t>
            </w:r>
          </w:p>
        </w:tc>
      </w:tr>
      <w:tr w:rsidR="00C60676" w:rsidRPr="0084467A" w14:paraId="65E7E108" w14:textId="77777777" w:rsidTr="00CD2606">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34ED6B" w14:textId="77777777" w:rsidR="00C60676" w:rsidRPr="0084467A" w:rsidRDefault="00C60676" w:rsidP="00CD2606">
            <w:pPr>
              <w:spacing w:before="100"/>
              <w:jc w:val="both"/>
              <w:rPr>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84F112" w14:textId="77777777" w:rsidR="00C60676" w:rsidRPr="0084467A" w:rsidRDefault="00C60676" w:rsidP="00CD2606">
            <w:pPr>
              <w:spacing w:before="100"/>
              <w:jc w:val="both"/>
              <w:rPr>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211928" w14:textId="77777777" w:rsidR="00C60676" w:rsidRPr="0084467A" w:rsidRDefault="00C60676" w:rsidP="00CD2606">
            <w:pPr>
              <w:spacing w:before="100"/>
              <w:jc w:val="both"/>
              <w:rPr>
                <w:sz w:val="20"/>
              </w:rPr>
            </w:pPr>
            <w:r w:rsidRPr="0084467A">
              <w:rPr>
                <w:sz w:val="20"/>
              </w:rPr>
              <w:t xml:space="preserve">2. Мерки за докладване на </w:t>
            </w:r>
            <w:r>
              <w:rPr>
                <w:sz w:val="20"/>
              </w:rPr>
              <w:t>Комитета за наблюдение</w:t>
            </w:r>
            <w:r w:rsidRPr="0084467A">
              <w:rPr>
                <w:sz w:val="20"/>
              </w:rPr>
              <w:t xml:space="preserve"> за случаите на незачитане на Хартата при подкрепяните от фондовете операции и жалби във връзка с Хартата, подавани в съответствие с механизмите, установени съгласно член 69, параграф 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CED04C" w14:textId="77777777" w:rsidR="00C60676" w:rsidRPr="0084467A" w:rsidRDefault="00C60676" w:rsidP="00CD2606">
            <w:pPr>
              <w:spacing w:before="100"/>
              <w:jc w:val="both"/>
              <w:rPr>
                <w:sz w:val="20"/>
              </w:rPr>
            </w:pPr>
            <w:r w:rsidRPr="0084467A">
              <w:rPr>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19D95D" w14:textId="77777777" w:rsidR="00C60676" w:rsidRPr="0084467A" w:rsidRDefault="00C60676" w:rsidP="00CD2606">
            <w:pPr>
              <w:tabs>
                <w:tab w:val="left" w:pos="137"/>
              </w:tabs>
              <w:spacing w:before="100"/>
              <w:ind w:left="71" w:right="71"/>
              <w:jc w:val="both"/>
              <w:rPr>
                <w:sz w:val="20"/>
                <w:szCs w:val="20"/>
                <w:lang w:eastAsia="en-GB"/>
              </w:rPr>
            </w:pPr>
            <w:r w:rsidRPr="0084467A">
              <w:rPr>
                <w:sz w:val="20"/>
                <w:szCs w:val="20"/>
                <w:lang w:eastAsia="en-GB"/>
              </w:rPr>
              <w:t>Проект на ПМС за създаване на комитети за наблюдение на Споразумението за партньорство на Република България и на програмите, съфинансирани от ЕФСУ за програмен период 2021 – 2027 г.</w:t>
            </w:r>
          </w:p>
          <w:p w14:paraId="60B491E2" w14:textId="5E472BED" w:rsidR="00C60676" w:rsidRPr="0084467A" w:rsidRDefault="00C60676" w:rsidP="00CD2606">
            <w:pPr>
              <w:tabs>
                <w:tab w:val="left" w:pos="137"/>
              </w:tabs>
              <w:spacing w:before="100"/>
              <w:ind w:left="71" w:right="71"/>
              <w:jc w:val="both"/>
              <w:rPr>
                <w:sz w:val="20"/>
                <w:szCs w:val="20"/>
                <w:lang w:eastAsia="en-GB"/>
              </w:rPr>
            </w:pPr>
            <w:r w:rsidRPr="0084467A">
              <w:rPr>
                <w:sz w:val="20"/>
                <w:szCs w:val="20"/>
                <w:lang w:eastAsia="en-GB"/>
              </w:rPr>
              <w:t xml:space="preserve">Насоки за прилагане на Хартата на основните права на ЕС от органите по управление, контрол и одит  на програмите, съфинансирани със средства  от ЕФРР, ЕСФ+, КФ, ФСП, </w:t>
            </w:r>
            <w:r w:rsidR="00797580">
              <w:rPr>
                <w:sz w:val="20"/>
                <w:szCs w:val="20"/>
                <w:lang w:eastAsia="en-GB"/>
              </w:rPr>
              <w:lastRenderedPageBreak/>
              <w:t>ЕФМДРА, ФУМИ, ФВС и И</w:t>
            </w:r>
            <w:r w:rsidRPr="0084467A">
              <w:rPr>
                <w:sz w:val="20"/>
                <w:szCs w:val="20"/>
                <w:lang w:eastAsia="en-GB"/>
              </w:rPr>
              <w:t>УГВП за програмен период 2021-2027 г., утвърдени със Заповед на заместник министър-председателя по еврофондовете и министър на финансите №  В-105/19.07.2022 г.:</w:t>
            </w:r>
          </w:p>
          <w:p w14:paraId="0A4D87C9" w14:textId="77777777" w:rsidR="00C60676" w:rsidRPr="0084467A" w:rsidRDefault="00C60676" w:rsidP="00CD2606">
            <w:pPr>
              <w:spacing w:before="100"/>
              <w:jc w:val="both"/>
              <w:rPr>
                <w:sz w:val="20"/>
                <w:szCs w:val="20"/>
              </w:rPr>
            </w:pPr>
            <w:r w:rsidRPr="0084467A">
              <w:rPr>
                <w:sz w:val="20"/>
                <w:szCs w:val="20"/>
                <w:lang w:eastAsia="en-GB"/>
              </w:rPr>
              <w:t>https://www.eufunds.bg/bg/node/8223</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5EE716" w14:textId="77777777" w:rsidR="00C60676" w:rsidRPr="0084467A" w:rsidRDefault="00C60676" w:rsidP="00CD2606">
            <w:pPr>
              <w:spacing w:before="100"/>
              <w:jc w:val="both"/>
              <w:rPr>
                <w:sz w:val="20"/>
              </w:rPr>
            </w:pPr>
            <w:r w:rsidRPr="0084467A">
              <w:rPr>
                <w:sz w:val="20"/>
              </w:rPr>
              <w:lastRenderedPageBreak/>
              <w:t xml:space="preserve">Докладването на жалбите по Хартата и на случаите на несъответствие на подкрепяните от фондовете операции с Хартата пред КН ще бъде регламентирано в ПМС за създаване на комитети за наблюдение на Споразумението за партньорство на Република България и на програмите, съфинансирани от ЕФСУ, за програмен период 2021 – 2027 г. Към 20.07.2022 г. проектът на постановление е на финален етап, като предстои иницииране на </w:t>
            </w:r>
            <w:r w:rsidRPr="0084467A">
              <w:rPr>
                <w:sz w:val="20"/>
              </w:rPr>
              <w:lastRenderedPageBreak/>
              <w:t>процедурите по обществено обсъждане и междуведомствено съгласуване.</w:t>
            </w:r>
          </w:p>
          <w:p w14:paraId="62D41241" w14:textId="77777777" w:rsidR="00C60676" w:rsidRPr="0084467A" w:rsidRDefault="00C60676" w:rsidP="00CD2606">
            <w:pPr>
              <w:spacing w:before="100"/>
              <w:jc w:val="both"/>
              <w:rPr>
                <w:sz w:val="20"/>
              </w:rPr>
            </w:pPr>
            <w:r w:rsidRPr="0084467A">
              <w:rPr>
                <w:sz w:val="20"/>
              </w:rPr>
              <w:t xml:space="preserve">Установените случаи на неспазване на Хартата в контекста на фондовете на ЕС ще се докладват от съответния УО, който следва да поддържа актуална систематизирана информация за тези случаи. </w:t>
            </w:r>
          </w:p>
          <w:p w14:paraId="7CCD2A97" w14:textId="77777777" w:rsidR="00C60676" w:rsidRPr="0084467A" w:rsidRDefault="00C60676" w:rsidP="00CD2606">
            <w:pPr>
              <w:spacing w:before="100"/>
              <w:jc w:val="both"/>
              <w:rPr>
                <w:sz w:val="20"/>
              </w:rPr>
            </w:pPr>
            <w:r w:rsidRPr="0084467A">
              <w:rPr>
                <w:sz w:val="20"/>
              </w:rPr>
              <w:t>Получените жалби от граждани или други външни източници/заинтересовани страни във връзка с нарушени права по Хартата в хода на изпълнение на програмите ще се разглеждат от съответния компетентен орган на национално ниво и ще се докладват пред КН от УО въз основа на информация, предоставена от разгледалите жалбите компетентни органи, съгласно Приложение № 3. Компетентните органи ще поддържат информация за получените жалби и резултатите от разглеждането им съобразно вътрешните си правила и процедури.</w:t>
            </w:r>
          </w:p>
        </w:tc>
      </w:tr>
      <w:tr w:rsidR="00C60676" w:rsidRPr="0084467A" w14:paraId="22859E31" w14:textId="77777777" w:rsidTr="00CD2606">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B0EB9E" w14:textId="77777777" w:rsidR="00C60676" w:rsidRPr="0084467A" w:rsidRDefault="00C60676" w:rsidP="00CD2606">
            <w:pPr>
              <w:spacing w:before="100"/>
              <w:jc w:val="both"/>
              <w:rPr>
                <w:sz w:val="20"/>
              </w:rPr>
            </w:pPr>
            <w:r w:rsidRPr="0084467A">
              <w:rPr>
                <w:sz w:val="20"/>
              </w:rPr>
              <w:lastRenderedPageBreak/>
              <w:t>4. Въвеждане и прилагане на Конвенцията на ООН за правата на хората с увреждания (КПХУ на ООН) в съответствие с Решение 2010/48/ЕО на Съвета</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4BBB9B" w14:textId="77777777" w:rsidR="00C60676" w:rsidRPr="0084467A" w:rsidRDefault="00C60676" w:rsidP="00CD2606">
            <w:pPr>
              <w:spacing w:before="100"/>
              <w:jc w:val="both"/>
              <w:rPr>
                <w:sz w:val="20"/>
              </w:rPr>
            </w:pPr>
            <w:r w:rsidRPr="0084467A">
              <w:rPr>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68ED6A" w14:textId="77777777" w:rsidR="00C60676" w:rsidRPr="0084467A" w:rsidRDefault="00C60676" w:rsidP="00CD2606">
            <w:pPr>
              <w:spacing w:before="100"/>
              <w:jc w:val="both"/>
              <w:rPr>
                <w:sz w:val="20"/>
              </w:rPr>
            </w:pPr>
            <w:r w:rsidRPr="0084467A">
              <w:rPr>
                <w:sz w:val="20"/>
              </w:rPr>
              <w:t>Налице е национална рамка за гарантиране на прилагането на КПХУ на ООН, която включва:</w:t>
            </w:r>
          </w:p>
          <w:p w14:paraId="3D68FFFB" w14:textId="77777777" w:rsidR="00C60676" w:rsidRPr="0084467A" w:rsidRDefault="00C60676" w:rsidP="00CD2606">
            <w:pPr>
              <w:spacing w:before="100"/>
              <w:jc w:val="both"/>
              <w:rPr>
                <w:sz w:val="20"/>
              </w:rPr>
            </w:pPr>
            <w:r w:rsidRPr="0084467A">
              <w:rPr>
                <w:sz w:val="20"/>
              </w:rPr>
              <w:t>1. Общи цели с измерими подцели, събиране на данни и механизми за мониторинг.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311F6C" w14:textId="77777777" w:rsidR="00C60676" w:rsidRPr="0084467A" w:rsidRDefault="00C60676" w:rsidP="00CD2606">
            <w:pPr>
              <w:spacing w:before="100"/>
              <w:jc w:val="both"/>
              <w:rPr>
                <w:sz w:val="20"/>
              </w:rPr>
            </w:pPr>
            <w:r w:rsidRPr="0084467A">
              <w:rPr>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8F2089" w14:textId="77777777" w:rsidR="00C60676" w:rsidRPr="0084467A" w:rsidRDefault="00C60676" w:rsidP="00CD2606">
            <w:pPr>
              <w:spacing w:before="100"/>
              <w:ind w:left="71" w:right="130"/>
              <w:jc w:val="both"/>
              <w:rPr>
                <w:sz w:val="20"/>
                <w:szCs w:val="20"/>
                <w:lang w:eastAsia="en-GB"/>
              </w:rPr>
            </w:pPr>
            <w:r w:rsidRPr="0084467A">
              <w:rPr>
                <w:sz w:val="20"/>
                <w:szCs w:val="20"/>
                <w:lang w:eastAsia="en-GB"/>
              </w:rPr>
              <w:t>Законът за хората с увреждания (ЗХУ) и Правилника за неговото прилагане са достъпни на:</w:t>
            </w:r>
          </w:p>
          <w:p w14:paraId="48E031B7" w14:textId="77777777" w:rsidR="00C60676" w:rsidRPr="0084467A" w:rsidRDefault="00DA6815" w:rsidP="00CD2606">
            <w:pPr>
              <w:spacing w:before="100"/>
              <w:ind w:left="71" w:right="130"/>
              <w:jc w:val="both"/>
              <w:rPr>
                <w:rFonts w:eastAsia="Calibri"/>
                <w:sz w:val="20"/>
                <w:szCs w:val="20"/>
                <w:lang w:eastAsia="en-GB"/>
              </w:rPr>
            </w:pPr>
            <w:hyperlink r:id="rId72" w:history="1">
              <w:r w:rsidR="00C60676" w:rsidRPr="0084467A">
                <w:rPr>
                  <w:rStyle w:val="Hyperlink"/>
                  <w:rFonts w:eastAsia="Calibri"/>
                  <w:sz w:val="20"/>
                  <w:szCs w:val="20"/>
                  <w:lang w:eastAsia="en-GB"/>
                </w:rPr>
                <w:t>https://www.mlsp.government.bg/normativni-aktove-</w:t>
              </w:r>
            </w:hyperlink>
            <w:r w:rsidR="00C60676" w:rsidRPr="0084467A">
              <w:rPr>
                <w:rFonts w:eastAsia="Calibri"/>
                <w:sz w:val="20"/>
                <w:szCs w:val="20"/>
                <w:lang w:eastAsia="en-GB"/>
              </w:rPr>
              <w:t xml:space="preserve"> </w:t>
            </w:r>
          </w:p>
          <w:p w14:paraId="5BE00AC7" w14:textId="77777777" w:rsidR="00C60676" w:rsidRPr="0084467A" w:rsidRDefault="00C60676" w:rsidP="00CD2606">
            <w:pPr>
              <w:spacing w:before="100"/>
              <w:ind w:left="71" w:right="130"/>
              <w:jc w:val="both"/>
              <w:rPr>
                <w:rFonts w:eastAsia="Calibri"/>
                <w:sz w:val="20"/>
                <w:szCs w:val="20"/>
                <w:u w:val="single"/>
                <w:lang w:eastAsia="en-GB"/>
              </w:rPr>
            </w:pPr>
          </w:p>
          <w:p w14:paraId="3D0A5134" w14:textId="77777777" w:rsidR="00C60676" w:rsidRPr="0084467A" w:rsidRDefault="00C60676" w:rsidP="00CD2606">
            <w:pPr>
              <w:spacing w:before="100"/>
              <w:ind w:left="71" w:right="130"/>
              <w:jc w:val="both"/>
              <w:rPr>
                <w:rFonts w:eastAsia="Calibri"/>
                <w:sz w:val="20"/>
                <w:szCs w:val="20"/>
                <w:u w:val="single"/>
                <w:lang w:eastAsia="en-GB"/>
              </w:rPr>
            </w:pPr>
            <w:r w:rsidRPr="0084467A">
              <w:rPr>
                <w:rFonts w:eastAsia="Calibri"/>
                <w:sz w:val="20"/>
                <w:szCs w:val="20"/>
                <w:lang w:eastAsia="en-GB"/>
              </w:rPr>
              <w:t>Информация за Н</w:t>
            </w:r>
            <w:r>
              <w:rPr>
                <w:rFonts w:eastAsia="Calibri"/>
                <w:sz w:val="20"/>
                <w:szCs w:val="20"/>
                <w:lang w:eastAsia="en-GB"/>
              </w:rPr>
              <w:t>ационалния съвет за хората с увреждания</w:t>
            </w:r>
            <w:r w:rsidRPr="0084467A">
              <w:rPr>
                <w:rFonts w:eastAsia="Calibri"/>
                <w:sz w:val="20"/>
                <w:szCs w:val="20"/>
                <w:lang w:eastAsia="en-GB"/>
              </w:rPr>
              <w:t xml:space="preserve"> и всички документи по неговото функциониране, както и ЗХУ и Правилника към него  са достъпни на:</w:t>
            </w:r>
          </w:p>
          <w:p w14:paraId="4FDA1AB8" w14:textId="77777777" w:rsidR="00C60676" w:rsidRPr="00017E23" w:rsidRDefault="00C60676" w:rsidP="00CD2606">
            <w:pPr>
              <w:spacing w:before="100"/>
              <w:ind w:left="71" w:right="130"/>
              <w:jc w:val="both"/>
              <w:rPr>
                <w:rFonts w:eastAsia="Calibri"/>
                <w:sz w:val="20"/>
                <w:szCs w:val="20"/>
                <w:lang w:eastAsia="en-GB"/>
              </w:rPr>
            </w:pPr>
            <w:r w:rsidRPr="0084467A">
              <w:rPr>
                <w:rFonts w:eastAsia="Calibri"/>
                <w:sz w:val="20"/>
                <w:szCs w:val="20"/>
                <w:lang w:eastAsia="en-GB"/>
              </w:rPr>
              <w:t>https://saveti.government.bg/web/cc_11/1</w:t>
            </w:r>
          </w:p>
          <w:p w14:paraId="7D3FF515" w14:textId="77777777" w:rsidR="00C60676" w:rsidRPr="0084467A" w:rsidRDefault="00C60676" w:rsidP="00CD2606">
            <w:pPr>
              <w:spacing w:before="100"/>
              <w:ind w:left="71" w:right="130"/>
              <w:jc w:val="both"/>
              <w:rPr>
                <w:rFonts w:eastAsia="Calibri"/>
                <w:sz w:val="20"/>
                <w:szCs w:val="20"/>
                <w:lang w:eastAsia="en-GB"/>
              </w:rPr>
            </w:pPr>
            <w:r w:rsidRPr="0084467A">
              <w:rPr>
                <w:rFonts w:eastAsia="Calibri"/>
                <w:sz w:val="20"/>
                <w:szCs w:val="20"/>
                <w:lang w:eastAsia="en-GB"/>
              </w:rPr>
              <w:lastRenderedPageBreak/>
              <w:t>Информация за Съвета за наблюдение е достъпна на:</w:t>
            </w:r>
          </w:p>
          <w:p w14:paraId="19AA2A95" w14:textId="77777777" w:rsidR="00C60676" w:rsidRPr="0084467A" w:rsidRDefault="00C60676" w:rsidP="00CD2606">
            <w:pPr>
              <w:spacing w:before="100"/>
              <w:ind w:left="71" w:right="130"/>
              <w:jc w:val="both"/>
              <w:rPr>
                <w:rFonts w:eastAsia="Calibri"/>
                <w:sz w:val="20"/>
                <w:szCs w:val="20"/>
                <w:lang w:eastAsia="en-GB"/>
              </w:rPr>
            </w:pPr>
            <w:r w:rsidRPr="0084467A">
              <w:rPr>
                <w:rFonts w:eastAsia="Calibri"/>
                <w:sz w:val="20"/>
                <w:szCs w:val="20"/>
                <w:lang w:eastAsia="en-GB"/>
              </w:rPr>
              <w:t>https://www.ombudsman.bg/pictures/Протокол%201.pdf</w:t>
            </w:r>
          </w:p>
          <w:p w14:paraId="303044A9" w14:textId="77777777" w:rsidR="00C60676" w:rsidRPr="0084467A" w:rsidRDefault="00C60676" w:rsidP="00CD2606">
            <w:pPr>
              <w:spacing w:before="100"/>
              <w:ind w:left="71" w:right="130"/>
              <w:jc w:val="both"/>
              <w:rPr>
                <w:rFonts w:eastAsia="Calibri"/>
                <w:sz w:val="20"/>
                <w:szCs w:val="20"/>
                <w:lang w:eastAsia="en-GB"/>
              </w:rPr>
            </w:pPr>
            <w:r w:rsidRPr="0084467A">
              <w:rPr>
                <w:rFonts w:eastAsia="Calibri"/>
                <w:sz w:val="20"/>
                <w:szCs w:val="20"/>
                <w:lang w:eastAsia="en-GB"/>
              </w:rPr>
              <w:t xml:space="preserve">https://mlsp.government.bg/uploads/38/khu/rms-6-11-2019-ap-2019-2020.pdf </w:t>
            </w:r>
          </w:p>
          <w:p w14:paraId="46C6D984" w14:textId="77777777" w:rsidR="00C60676" w:rsidRPr="0084467A" w:rsidRDefault="00C60676" w:rsidP="00CD2606">
            <w:pPr>
              <w:spacing w:before="100"/>
              <w:ind w:left="71" w:right="130"/>
              <w:jc w:val="both"/>
              <w:rPr>
                <w:rFonts w:eastAsia="Calibri"/>
                <w:sz w:val="20"/>
                <w:szCs w:val="20"/>
                <w:lang w:eastAsia="en-GB"/>
              </w:rPr>
            </w:pPr>
            <w:r w:rsidRPr="0084467A">
              <w:rPr>
                <w:rFonts w:eastAsia="Calibri"/>
                <w:sz w:val="20"/>
                <w:szCs w:val="20"/>
                <w:lang w:eastAsia="en-GB"/>
              </w:rPr>
              <w:t>https://mlsp.government.bg/strategicheski-dokumenti</w:t>
            </w:r>
          </w:p>
          <w:p w14:paraId="559379CA" w14:textId="77777777" w:rsidR="00C60676" w:rsidRPr="0084467A" w:rsidRDefault="00C60676" w:rsidP="00CD2606">
            <w:pPr>
              <w:spacing w:before="100"/>
              <w:ind w:left="71" w:right="130"/>
              <w:jc w:val="both"/>
              <w:rPr>
                <w:rFonts w:eastAsia="Calibri"/>
                <w:sz w:val="20"/>
                <w:szCs w:val="20"/>
                <w:lang w:eastAsia="en-GB"/>
              </w:rPr>
            </w:pPr>
          </w:p>
          <w:p w14:paraId="15B4163F" w14:textId="77777777" w:rsidR="00C60676" w:rsidRPr="0084467A" w:rsidRDefault="00C60676" w:rsidP="00CD2606">
            <w:pPr>
              <w:spacing w:before="100"/>
              <w:ind w:left="71" w:right="130"/>
              <w:jc w:val="both"/>
              <w:rPr>
                <w:rFonts w:eastAsia="Calibri"/>
                <w:color w:val="0000FF"/>
                <w:sz w:val="21"/>
                <w:szCs w:val="21"/>
                <w:u w:val="single"/>
                <w:lang w:eastAsia="en-GB"/>
              </w:rPr>
            </w:pPr>
          </w:p>
          <w:p w14:paraId="38C63CE3" w14:textId="77777777" w:rsidR="00C60676" w:rsidRPr="0084467A" w:rsidRDefault="00C60676" w:rsidP="00CD2606">
            <w:pPr>
              <w:spacing w:before="100"/>
              <w:jc w:val="both"/>
              <w:rPr>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1AADAD" w14:textId="77777777" w:rsidR="00C60676" w:rsidRPr="0084467A" w:rsidRDefault="00C60676" w:rsidP="00CD2606">
            <w:pPr>
              <w:spacing w:before="100"/>
              <w:jc w:val="both"/>
              <w:rPr>
                <w:sz w:val="20"/>
                <w:szCs w:val="20"/>
              </w:rPr>
            </w:pPr>
            <w:r w:rsidRPr="0084467A">
              <w:rPr>
                <w:bCs/>
                <w:iCs/>
                <w:sz w:val="20"/>
                <w:szCs w:val="20"/>
              </w:rPr>
              <w:lastRenderedPageBreak/>
              <w:t xml:space="preserve">Националната рамка, гарантираща изпълнението на Конвенцията, включва ЗХУ и Правилник за прилагане на ЗХУ, Правила за дейността и организацията на работа на Националния съвет за хората с увреждания. Съветът е консултативен орган към МС с представители на правителството, национално представителни организации на и за хора с увреждания, национално представителни организации на работниците и служителите и представители на национално равнище организации на работодателите и </w:t>
            </w:r>
            <w:r w:rsidRPr="0084467A">
              <w:rPr>
                <w:bCs/>
                <w:iCs/>
                <w:sz w:val="20"/>
                <w:szCs w:val="20"/>
              </w:rPr>
              <w:lastRenderedPageBreak/>
              <w:t>Националното сдружение на общините в Република България. Създадена e информационна система за хората с увреждания, съдържаща данни за здраве, квалификация, образование, възможности за социално включване, професионална реализация, социално-икономически статус, демографски и др. Данните се използват за наблюдение и анализ на социално-икономическия статус на хората с увреждания, за планиране на дейности за разработване на секторни политики. Налична услуга Profile, позволява индивидуален достъп до информация за допустими услуги според конкретното увреждане на човека. Приета Националната стратегия за хората с увреждания 2021 – 2030 и план за действие за стратегията.</w:t>
            </w:r>
          </w:p>
        </w:tc>
      </w:tr>
      <w:tr w:rsidR="00C60676" w:rsidRPr="0084467A" w14:paraId="182AC0CE" w14:textId="77777777" w:rsidTr="00CD2606">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127731" w14:textId="77777777" w:rsidR="00C60676" w:rsidRPr="0084467A" w:rsidRDefault="00C60676" w:rsidP="00CD2606">
            <w:pPr>
              <w:spacing w:before="100"/>
              <w:jc w:val="both"/>
              <w:rPr>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739840" w14:textId="77777777" w:rsidR="00C60676" w:rsidRPr="0084467A" w:rsidRDefault="00C60676" w:rsidP="00CD2606">
            <w:pPr>
              <w:spacing w:before="100"/>
              <w:jc w:val="both"/>
              <w:rPr>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A49610" w14:textId="77777777" w:rsidR="00C60676" w:rsidRPr="0084467A" w:rsidRDefault="00C60676" w:rsidP="00CD2606">
            <w:pPr>
              <w:spacing w:before="100"/>
              <w:jc w:val="both"/>
              <w:rPr>
                <w:sz w:val="20"/>
              </w:rPr>
            </w:pPr>
            <w:r w:rsidRPr="0084467A">
              <w:rPr>
                <w:sz w:val="20"/>
              </w:rPr>
              <w:t>2. Мерки, с които да се гарантира, че политиката, законодателството и стандартите относно достъпността са надлежно отразени в подготовката и изпълнението на програмите.</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1D89E0" w14:textId="77777777" w:rsidR="00C60676" w:rsidRPr="0084467A" w:rsidRDefault="00C60676" w:rsidP="00CD2606">
            <w:pPr>
              <w:spacing w:before="100"/>
              <w:jc w:val="both"/>
              <w:rPr>
                <w:sz w:val="20"/>
              </w:rPr>
            </w:pPr>
            <w:r w:rsidRPr="0084467A">
              <w:rPr>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3F3AB3" w14:textId="13529964" w:rsidR="00C60676" w:rsidRPr="0084467A" w:rsidRDefault="00C60676" w:rsidP="00CD2606">
            <w:pPr>
              <w:spacing w:before="100"/>
              <w:jc w:val="both"/>
              <w:rPr>
                <w:sz w:val="20"/>
              </w:rPr>
            </w:pPr>
            <w:r w:rsidRPr="0084467A">
              <w:rPr>
                <w:sz w:val="20"/>
                <w:szCs w:val="20"/>
                <w:lang w:eastAsia="en-GB"/>
              </w:rPr>
              <w:t xml:space="preserve">Насоки за прилагане на Конвенцията на ООН за правата на хората с увреждания от органите по управление, контрол и одит  на програмите, съфинансирани със средства  от ЕФРР, ЕСФ+, </w:t>
            </w:r>
            <w:r w:rsidR="00797580">
              <w:rPr>
                <w:sz w:val="20"/>
                <w:szCs w:val="20"/>
                <w:lang w:eastAsia="en-GB"/>
              </w:rPr>
              <w:t>КФ, ФСП, ЕФМДРА, ФУМИ, ФВС и И</w:t>
            </w:r>
            <w:r w:rsidRPr="0084467A">
              <w:rPr>
                <w:sz w:val="20"/>
                <w:szCs w:val="20"/>
                <w:lang w:eastAsia="en-GB"/>
              </w:rPr>
              <w:t xml:space="preserve">УГВП за програмен период 2021-2027 г., утвърдени със Заповед на заместник министър-председателя по еврофондовете и министър на финансите № В-105/19.07.2022 г.: </w:t>
            </w:r>
            <w:hyperlink r:id="rId73" w:history="1">
              <w:r w:rsidRPr="0084467A">
                <w:rPr>
                  <w:sz w:val="20"/>
                  <w:szCs w:val="20"/>
                  <w:lang w:eastAsia="en-GB"/>
                </w:rPr>
                <w:t>https://www.eufunds.bg/bg/node/8224</w:t>
              </w:r>
            </w:hyperlink>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BBED8C" w14:textId="77777777" w:rsidR="00C60676" w:rsidRPr="0084467A" w:rsidRDefault="00C60676" w:rsidP="00CD2606">
            <w:pPr>
              <w:spacing w:before="100"/>
              <w:jc w:val="both"/>
              <w:rPr>
                <w:sz w:val="20"/>
              </w:rPr>
            </w:pPr>
            <w:r w:rsidRPr="0084467A">
              <w:rPr>
                <w:sz w:val="20"/>
              </w:rPr>
              <w:t xml:space="preserve">Утвърдени са национални Насоки за гарантиране на зачитането на Конвенцията при изпълнение на програмите. В приложение към насоките са разработени контролни листа за правата от КПХУ,  приложими към отделните етапи и документи в рамките на процеса на програмиране, управление, наблюдениe и контрол на средствата от фондовете, както и за проверка на потенциални нарушения на КПХУ, които да бъдат прилагани от органите в системата за управление и контрол. Изискванията на Насоките и приложенията към тях ще бъдат инкорпорирани в описанието на системите за управление и контрол на програмите. </w:t>
            </w:r>
          </w:p>
          <w:p w14:paraId="1C94EBE7" w14:textId="77777777" w:rsidR="00C60676" w:rsidRPr="0084467A" w:rsidRDefault="00C60676" w:rsidP="00CD2606">
            <w:pPr>
              <w:spacing w:before="100"/>
              <w:jc w:val="both"/>
              <w:rPr>
                <w:sz w:val="20"/>
              </w:rPr>
            </w:pPr>
          </w:p>
        </w:tc>
      </w:tr>
      <w:tr w:rsidR="00C60676" w:rsidRPr="0084467A" w14:paraId="4A1B7F20" w14:textId="77777777" w:rsidTr="00CD2606">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33680B" w14:textId="77777777" w:rsidR="00C60676" w:rsidRPr="0084467A" w:rsidRDefault="00C60676" w:rsidP="00CD2606">
            <w:pPr>
              <w:spacing w:before="100"/>
              <w:jc w:val="both"/>
              <w:rPr>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2B333B" w14:textId="77777777" w:rsidR="00C60676" w:rsidRPr="0084467A" w:rsidRDefault="00C60676" w:rsidP="00CD2606">
            <w:pPr>
              <w:spacing w:before="100"/>
              <w:jc w:val="both"/>
              <w:rPr>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5931FB" w14:textId="77777777" w:rsidR="00C60676" w:rsidRPr="0084467A" w:rsidRDefault="00C60676" w:rsidP="00CD2606">
            <w:pPr>
              <w:spacing w:before="100"/>
              <w:jc w:val="both"/>
              <w:rPr>
                <w:sz w:val="20"/>
              </w:rPr>
            </w:pPr>
            <w:r w:rsidRPr="0084467A">
              <w:rPr>
                <w:sz w:val="20"/>
              </w:rPr>
              <w:t xml:space="preserve">3. Мерки за докладване на </w:t>
            </w:r>
            <w:r>
              <w:rPr>
                <w:sz w:val="20"/>
              </w:rPr>
              <w:t>Комитета за наблюдение</w:t>
            </w:r>
            <w:r w:rsidRPr="0084467A">
              <w:rPr>
                <w:sz w:val="20"/>
              </w:rPr>
              <w:t xml:space="preserve"> за случаите на несъответствие на подкрепяните от фондовете операции с КПХУ на ООН и жалби относно КПХУ на ООН, подадени в съответствие с механизмите съгласно член 69, параграф 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DF31F6" w14:textId="77777777" w:rsidR="00C60676" w:rsidRPr="0084467A" w:rsidRDefault="00C60676" w:rsidP="00CD2606">
            <w:pPr>
              <w:spacing w:before="100"/>
              <w:jc w:val="both"/>
              <w:rPr>
                <w:sz w:val="20"/>
              </w:rPr>
            </w:pPr>
            <w:r w:rsidRPr="0084467A">
              <w:rPr>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CAB06" w14:textId="77777777" w:rsidR="00C60676" w:rsidRPr="0084467A" w:rsidRDefault="00C60676" w:rsidP="00CD2606">
            <w:pPr>
              <w:spacing w:before="100"/>
              <w:jc w:val="both"/>
              <w:rPr>
                <w:sz w:val="20"/>
                <w:szCs w:val="20"/>
                <w:lang w:eastAsia="en-GB"/>
              </w:rPr>
            </w:pPr>
            <w:r w:rsidRPr="0084467A">
              <w:rPr>
                <w:sz w:val="20"/>
                <w:szCs w:val="20"/>
                <w:lang w:eastAsia="en-GB"/>
              </w:rPr>
              <w:t>Проект на ПМС за създаване на комитети за наблюдение на Споразумението за партньорство на Република България и на програмите, съфинансирани от ЕФСУ за програмен период 2021 – 2027 г.</w:t>
            </w:r>
          </w:p>
          <w:p w14:paraId="2289B403" w14:textId="2319D14A" w:rsidR="00C60676" w:rsidRPr="0084467A" w:rsidRDefault="00C60676" w:rsidP="00E76F74">
            <w:pPr>
              <w:spacing w:before="100"/>
              <w:jc w:val="both"/>
              <w:rPr>
                <w:sz w:val="20"/>
              </w:rPr>
            </w:pPr>
            <w:r w:rsidRPr="0084467A">
              <w:rPr>
                <w:sz w:val="20"/>
                <w:szCs w:val="20"/>
                <w:lang w:eastAsia="en-GB"/>
              </w:rPr>
              <w:t xml:space="preserve">Насоки за прилагане на Конвенцията на ООН за правата на хората с увреждания от органите по управление, контрол и одит  на програмите, съфинансирани със средства  от ЕФРР, ЕСФ+, </w:t>
            </w:r>
            <w:r w:rsidR="00797580">
              <w:rPr>
                <w:sz w:val="20"/>
                <w:szCs w:val="20"/>
                <w:lang w:eastAsia="en-GB"/>
              </w:rPr>
              <w:t>КФ, ФСП, ЕФМДРА, ФУМИ, ФВС и И</w:t>
            </w:r>
            <w:r w:rsidRPr="0084467A">
              <w:rPr>
                <w:sz w:val="20"/>
                <w:szCs w:val="20"/>
                <w:lang w:eastAsia="en-GB"/>
              </w:rPr>
              <w:t xml:space="preserve">УГВП за програмен период 2021 – 2027 г., утвърдени със Заповед на заместник министър-председателя по еврофондовете и министър на финансите № В-105/19.07.2022 г.: </w:t>
            </w:r>
            <w:hyperlink r:id="rId74" w:history="1">
              <w:r w:rsidRPr="0084467A">
                <w:rPr>
                  <w:sz w:val="20"/>
                  <w:szCs w:val="20"/>
                  <w:lang w:eastAsia="en-GB"/>
                </w:rPr>
                <w:t>https://www.eufunds.bg/bg/node/8224</w:t>
              </w:r>
            </w:hyperlink>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CB9EB9" w14:textId="77777777" w:rsidR="00C60676" w:rsidRPr="0084467A" w:rsidRDefault="00C60676" w:rsidP="00CD2606">
            <w:pPr>
              <w:spacing w:before="100"/>
              <w:jc w:val="both"/>
              <w:rPr>
                <w:sz w:val="20"/>
              </w:rPr>
            </w:pPr>
            <w:r w:rsidRPr="0084467A">
              <w:rPr>
                <w:sz w:val="20"/>
              </w:rPr>
              <w:t>Докладването на жалбите по КПХУ и на случаите на несъответствие на подкрепяните от фондовете операции с КПХУ пред КН ще бъде регламентирано в ПМС за създаване на комитети за наблюдение на Споразумението за партньорство на Република България и на програмите, съфинансирани от ЕФСУ, за програмен период 2021 – 2027 г. Към 20.07.2022 г. проектът на постановление е на финален етап, като предстои иницииране на процедурите по обществено обсъждане и междуведомствено съгласуване.</w:t>
            </w:r>
          </w:p>
          <w:p w14:paraId="7994EB8E" w14:textId="77777777" w:rsidR="00C60676" w:rsidRPr="0084467A" w:rsidRDefault="00C60676" w:rsidP="00CD2606">
            <w:pPr>
              <w:spacing w:before="100"/>
              <w:jc w:val="both"/>
              <w:rPr>
                <w:sz w:val="20"/>
              </w:rPr>
            </w:pPr>
            <w:r w:rsidRPr="0084467A">
              <w:rPr>
                <w:sz w:val="20"/>
              </w:rPr>
              <w:t xml:space="preserve">Установените случаи на неспазване на КПХУ в контекста на фондовете на ЕС ще се докладват от съответния УО, който следва да поддържа актуална систематизирана информация за тези случаи. </w:t>
            </w:r>
          </w:p>
          <w:p w14:paraId="611DAA4F" w14:textId="77777777" w:rsidR="00C60676" w:rsidRPr="0084467A" w:rsidRDefault="00C60676" w:rsidP="00CD2606">
            <w:pPr>
              <w:spacing w:before="100"/>
              <w:jc w:val="both"/>
              <w:rPr>
                <w:sz w:val="20"/>
              </w:rPr>
            </w:pPr>
            <w:r w:rsidRPr="0084467A">
              <w:rPr>
                <w:sz w:val="20"/>
              </w:rPr>
              <w:t>Получените жалби от граждани или други външни източници/заинтересовани страни във връзка с нарушени права по КПХУ в хода на изпълнение на програмите ще се разглеждат от съответния компетентен орган на национално ниво и ще се докладват пред КН от УО въз основа на информация, предоставена от разгледалите жалбите компетентни органи, съгласно Приложение № 3. Компетентните органи ще поддържат информация за получените жалби и резултатите от разглеждането им съобразно вътрешните си правила и процедури.</w:t>
            </w:r>
          </w:p>
        </w:tc>
      </w:tr>
    </w:tbl>
    <w:p w14:paraId="1BE8D415" w14:textId="77777777" w:rsidR="00C60676" w:rsidRPr="00C60676" w:rsidRDefault="00C60676" w:rsidP="00C60676">
      <w:pPr>
        <w:rPr>
          <w:lang w:val="bg-BG"/>
        </w:rPr>
      </w:pPr>
    </w:p>
    <w:p w14:paraId="4E1CDADB" w14:textId="77777777" w:rsidR="00A77B3E" w:rsidRDefault="00A77B3E">
      <w:pPr>
        <w:spacing w:before="100"/>
        <w:rPr>
          <w:color w:val="000000"/>
          <w:sz w:val="0"/>
        </w:rPr>
      </w:pPr>
    </w:p>
    <w:p w14:paraId="4404EA5C" w14:textId="77777777" w:rsidR="00A77B3E" w:rsidRDefault="00E62050">
      <w:pPr>
        <w:pStyle w:val="Heading1"/>
        <w:spacing w:before="100" w:after="0"/>
        <w:rPr>
          <w:rFonts w:ascii="Times New Roman" w:hAnsi="Times New Roman" w:cs="Times New Roman"/>
          <w:b w:val="0"/>
          <w:color w:val="000000"/>
          <w:sz w:val="24"/>
        </w:rPr>
      </w:pPr>
      <w:r>
        <w:rPr>
          <w:rFonts w:ascii="Times New Roman" w:hAnsi="Times New Roman" w:cs="Times New Roman"/>
          <w:b w:val="0"/>
          <w:color w:val="000000"/>
          <w:sz w:val="20"/>
        </w:rPr>
        <w:br w:type="page"/>
      </w:r>
      <w:bookmarkStart w:id="39" w:name="_Toc129599311"/>
      <w:r>
        <w:rPr>
          <w:rFonts w:ascii="Times New Roman" w:hAnsi="Times New Roman" w:cs="Times New Roman"/>
          <w:b w:val="0"/>
          <w:color w:val="000000"/>
          <w:sz w:val="24"/>
        </w:rPr>
        <w:lastRenderedPageBreak/>
        <w:t xml:space="preserve">5. </w:t>
      </w:r>
      <w:r w:rsidR="00AD6101" w:rsidRPr="00AD6101">
        <w:rPr>
          <w:rFonts w:ascii="Times New Roman" w:hAnsi="Times New Roman" w:cs="Times New Roman"/>
          <w:b w:val="0"/>
          <w:color w:val="000000"/>
          <w:sz w:val="24"/>
        </w:rPr>
        <w:t>Програмни органи</w:t>
      </w:r>
      <w:bookmarkEnd w:id="39"/>
    </w:p>
    <w:p w14:paraId="0B9FAD5B" w14:textId="77777777" w:rsidR="00A77B3E" w:rsidRDefault="00AD6101">
      <w:pPr>
        <w:spacing w:before="100"/>
        <w:rPr>
          <w:color w:val="000000"/>
        </w:rPr>
      </w:pPr>
      <w:r w:rsidRPr="00AD6101">
        <w:rPr>
          <w:color w:val="000000"/>
        </w:rPr>
        <w:t>Основание: член 22, параграф 3, буква к) и членове 71 и 84 от РОР</w:t>
      </w:r>
    </w:p>
    <w:p w14:paraId="07CA3F0C" w14:textId="77777777" w:rsidR="00A77B3E" w:rsidRDefault="00AD6101">
      <w:pPr>
        <w:pStyle w:val="Heading2"/>
        <w:spacing w:before="100" w:after="0"/>
        <w:rPr>
          <w:rFonts w:ascii="Times New Roman" w:hAnsi="Times New Roman" w:cs="Times New Roman"/>
          <w:b w:val="0"/>
          <w:i w:val="0"/>
          <w:color w:val="000000"/>
          <w:sz w:val="24"/>
        </w:rPr>
      </w:pPr>
      <w:bookmarkStart w:id="40" w:name="_Toc129599312"/>
      <w:r w:rsidRPr="00AD6101">
        <w:rPr>
          <w:rFonts w:ascii="Times New Roman" w:hAnsi="Times New Roman" w:cs="Times New Roman"/>
          <w:b w:val="0"/>
          <w:i w:val="0"/>
          <w:color w:val="000000"/>
          <w:sz w:val="24"/>
        </w:rPr>
        <w:t>Таблица 10: Програмни органи</w:t>
      </w:r>
      <w:bookmarkEnd w:id="40"/>
    </w:p>
    <w:p w14:paraId="74E171A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4204"/>
        <w:gridCol w:w="1682"/>
        <w:gridCol w:w="4230"/>
        <w:gridCol w:w="1432"/>
      </w:tblGrid>
      <w:tr w:rsidR="00DB5A2C" w:rsidRPr="00AD6101" w14:paraId="495E2DBA" w14:textId="77777777" w:rsidTr="00CD2606">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D2A3D0" w14:textId="77777777" w:rsidR="00AD6101" w:rsidRPr="00AD6101" w:rsidRDefault="00AD6101" w:rsidP="00AD6101">
            <w:pPr>
              <w:spacing w:before="100"/>
              <w:jc w:val="center"/>
              <w:rPr>
                <w:color w:val="000000"/>
                <w:sz w:val="20"/>
                <w:szCs w:val="20"/>
              </w:rPr>
            </w:pPr>
            <w:r w:rsidRPr="00AD6101">
              <w:rPr>
                <w:sz w:val="20"/>
                <w:szCs w:val="20"/>
              </w:rPr>
              <w:t>Програмен орган</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E30B40" w14:textId="77777777" w:rsidR="00AD6101" w:rsidRPr="00AD6101" w:rsidRDefault="00AD6101" w:rsidP="00AD6101">
            <w:pPr>
              <w:spacing w:before="100"/>
              <w:jc w:val="center"/>
              <w:rPr>
                <w:color w:val="000000"/>
                <w:sz w:val="20"/>
                <w:szCs w:val="20"/>
              </w:rPr>
            </w:pPr>
            <w:r w:rsidRPr="00AD6101">
              <w:rPr>
                <w:sz w:val="20"/>
                <w:szCs w:val="20"/>
              </w:rPr>
              <w:t>Наименование на институцията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3361EE" w14:textId="77777777" w:rsidR="00AD6101" w:rsidRPr="00AD6101" w:rsidRDefault="00AD6101" w:rsidP="00AD6101">
            <w:pPr>
              <w:spacing w:before="100"/>
              <w:jc w:val="center"/>
              <w:rPr>
                <w:color w:val="000000"/>
                <w:sz w:val="20"/>
                <w:szCs w:val="20"/>
              </w:rPr>
            </w:pPr>
            <w:r w:rsidRPr="00AD6101">
              <w:rPr>
                <w:sz w:val="20"/>
                <w:szCs w:val="20"/>
              </w:rPr>
              <w:t>Лице за контакт</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40AC79" w14:textId="77777777" w:rsidR="00AD6101" w:rsidRPr="00AD6101" w:rsidRDefault="00AD6101" w:rsidP="00AD6101">
            <w:pPr>
              <w:spacing w:before="100"/>
              <w:jc w:val="center"/>
              <w:rPr>
                <w:color w:val="000000"/>
                <w:sz w:val="20"/>
                <w:szCs w:val="20"/>
              </w:rPr>
            </w:pPr>
            <w:r w:rsidRPr="00AD6101">
              <w:rPr>
                <w:sz w:val="20"/>
                <w:szCs w:val="20"/>
              </w:rPr>
              <w:t>Длъжност</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255C9A" w14:textId="77777777" w:rsidR="00AD6101" w:rsidRPr="00AD6101" w:rsidRDefault="00AD6101" w:rsidP="00AD6101">
            <w:pPr>
              <w:spacing w:before="100"/>
              <w:jc w:val="center"/>
              <w:rPr>
                <w:color w:val="000000"/>
                <w:sz w:val="20"/>
                <w:szCs w:val="20"/>
              </w:rPr>
            </w:pPr>
            <w:r w:rsidRPr="00AD6101">
              <w:rPr>
                <w:sz w:val="20"/>
                <w:szCs w:val="20"/>
              </w:rPr>
              <w:t>Имейл</w:t>
            </w:r>
          </w:p>
        </w:tc>
      </w:tr>
      <w:tr w:rsidR="00DB5A2C" w:rsidRPr="00AD6101" w14:paraId="1CC0C20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0D11BC" w14:textId="77777777" w:rsidR="00AD6101" w:rsidRPr="00AD6101" w:rsidRDefault="00AD6101" w:rsidP="00AD6101">
            <w:pPr>
              <w:spacing w:before="100"/>
              <w:rPr>
                <w:color w:val="000000"/>
                <w:sz w:val="20"/>
                <w:szCs w:val="20"/>
              </w:rPr>
            </w:pPr>
            <w:r w:rsidRPr="00AD6101">
              <w:rPr>
                <w:sz w:val="20"/>
                <w:szCs w:val="20"/>
              </w:rPr>
              <w:t>Управляващ орган</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6E38FB" w14:textId="77777777" w:rsidR="00AD6101" w:rsidRPr="00AD6101" w:rsidRDefault="00AD6101" w:rsidP="00AD6101">
            <w:pPr>
              <w:spacing w:before="100"/>
              <w:rPr>
                <w:color w:val="000000"/>
                <w:sz w:val="20"/>
                <w:szCs w:val="20"/>
              </w:rPr>
            </w:pPr>
            <w:r w:rsidRPr="00AD6101">
              <w:rPr>
                <w:sz w:val="20"/>
                <w:szCs w:val="20"/>
              </w:rPr>
              <w:t>Дирекция „Международни проекти“-МВР</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8CCD4C" w14:textId="77777777" w:rsidR="00AD6101" w:rsidRPr="00AD6101" w:rsidRDefault="00AD6101" w:rsidP="00AD6101">
            <w:pPr>
              <w:spacing w:before="100"/>
              <w:rPr>
                <w:color w:val="000000"/>
                <w:sz w:val="20"/>
                <w:szCs w:val="20"/>
              </w:rPr>
            </w:pPr>
            <w:r w:rsidRPr="00AD6101">
              <w:rPr>
                <w:sz w:val="20"/>
                <w:szCs w:val="20"/>
              </w:rPr>
              <w:t>Мая Петкова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ACCDD4" w14:textId="77777777" w:rsidR="00AD6101" w:rsidRPr="00AD6101" w:rsidRDefault="00AD6101" w:rsidP="00AD6101">
            <w:pPr>
              <w:spacing w:before="100"/>
              <w:rPr>
                <w:color w:val="000000"/>
                <w:sz w:val="20"/>
                <w:szCs w:val="20"/>
              </w:rPr>
            </w:pPr>
            <w:r w:rsidRPr="00AD6101">
              <w:rPr>
                <w:sz w:val="20"/>
                <w:szCs w:val="20"/>
              </w:rPr>
              <w:t>Директор на Дирекция „Международни проекти“-МВР</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610319" w14:textId="77777777" w:rsidR="00AD6101" w:rsidRPr="00AD6101" w:rsidRDefault="00AD6101" w:rsidP="00AD6101">
            <w:pPr>
              <w:spacing w:before="100"/>
              <w:rPr>
                <w:color w:val="000000"/>
                <w:sz w:val="20"/>
                <w:szCs w:val="20"/>
              </w:rPr>
            </w:pPr>
            <w:r w:rsidRPr="00AD6101">
              <w:rPr>
                <w:sz w:val="20"/>
                <w:szCs w:val="20"/>
              </w:rPr>
              <w:t>dmp@mvr.bg</w:t>
            </w:r>
          </w:p>
        </w:tc>
      </w:tr>
      <w:tr w:rsidR="00DB5A2C" w:rsidRPr="00AD6101" w14:paraId="58CD9BA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E1631C" w14:textId="77777777" w:rsidR="00AD6101" w:rsidRPr="00AD6101" w:rsidRDefault="00AD6101" w:rsidP="00AD6101">
            <w:pPr>
              <w:spacing w:before="100"/>
              <w:rPr>
                <w:color w:val="000000"/>
                <w:sz w:val="20"/>
                <w:szCs w:val="20"/>
              </w:rPr>
            </w:pPr>
            <w:r w:rsidRPr="00AD6101">
              <w:rPr>
                <w:sz w:val="20"/>
                <w:szCs w:val="20"/>
              </w:rPr>
              <w:t>Одитен орган</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A402B6" w14:textId="44BC33BD" w:rsidR="00AD6101" w:rsidRPr="00AD6101" w:rsidRDefault="004847C7" w:rsidP="00AD6101">
            <w:pPr>
              <w:spacing w:before="100"/>
              <w:rPr>
                <w:color w:val="000000"/>
                <w:sz w:val="20"/>
                <w:szCs w:val="20"/>
              </w:rPr>
            </w:pPr>
            <w:r>
              <w:rPr>
                <w:sz w:val="20"/>
                <w:szCs w:val="20"/>
                <w:lang w:val="bg-BG"/>
              </w:rPr>
              <w:t>Изпълнителна агенция Одит на средствата от ЕС - МФ</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08DC48" w14:textId="0319BEAB" w:rsidR="00AD6101" w:rsidRPr="00894EB3" w:rsidRDefault="008B6D40" w:rsidP="004847C7">
            <w:pPr>
              <w:spacing w:before="100"/>
              <w:rPr>
                <w:color w:val="000000"/>
                <w:sz w:val="20"/>
                <w:szCs w:val="20"/>
                <w:lang w:val="bg-BG"/>
              </w:rPr>
            </w:pPr>
            <w:r>
              <w:rPr>
                <w:sz w:val="20"/>
                <w:szCs w:val="20"/>
                <w:lang w:val="bg-BG"/>
              </w:rPr>
              <w:t>Людмила Ранг</w:t>
            </w:r>
            <w:r w:rsidR="004847C7">
              <w:rPr>
                <w:sz w:val="20"/>
                <w:szCs w:val="20"/>
                <w:lang w:val="bg-BG"/>
              </w:rPr>
              <w:t>е</w:t>
            </w:r>
            <w:r>
              <w:rPr>
                <w:sz w:val="20"/>
                <w:szCs w:val="20"/>
                <w:lang w:val="bg-BG"/>
              </w:rPr>
              <w:t>лова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F779AA" w14:textId="0DB453E8" w:rsidR="00AD6101" w:rsidRPr="00894EB3" w:rsidRDefault="00DB5A2C" w:rsidP="00AD6101">
            <w:pPr>
              <w:spacing w:before="100"/>
              <w:rPr>
                <w:color w:val="000000"/>
                <w:sz w:val="20"/>
                <w:szCs w:val="20"/>
                <w:lang w:val="bg-BG"/>
              </w:rPr>
            </w:pPr>
            <w:r>
              <w:rPr>
                <w:sz w:val="20"/>
                <w:szCs w:val="20"/>
                <w:lang w:val="bg-BG"/>
              </w:rPr>
              <w:t>Изпълнителен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0361D8" w14:textId="5A039E15" w:rsidR="00AD6101" w:rsidRPr="00AD6101" w:rsidRDefault="00DB5A2C" w:rsidP="00AD6101">
            <w:pPr>
              <w:spacing w:before="100"/>
              <w:rPr>
                <w:color w:val="000000"/>
                <w:sz w:val="20"/>
                <w:szCs w:val="20"/>
              </w:rPr>
            </w:pPr>
            <w:r>
              <w:rPr>
                <w:sz w:val="20"/>
                <w:szCs w:val="20"/>
              </w:rPr>
              <w:t>aeuf@minfin.bg</w:t>
            </w:r>
          </w:p>
        </w:tc>
      </w:tr>
      <w:tr w:rsidR="00DB5A2C" w:rsidRPr="00AD6101" w14:paraId="1F254A6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D9E73B" w14:textId="77777777" w:rsidR="00AD6101" w:rsidRPr="00AD6101" w:rsidRDefault="00AD6101" w:rsidP="00AD6101">
            <w:pPr>
              <w:spacing w:before="100"/>
              <w:rPr>
                <w:color w:val="000000"/>
                <w:sz w:val="20"/>
                <w:szCs w:val="20"/>
              </w:rPr>
            </w:pPr>
            <w:r w:rsidRPr="00AD6101">
              <w:rPr>
                <w:sz w:val="20"/>
                <w:szCs w:val="20"/>
              </w:rPr>
              <w:t>Орган, който получава плащания от Комисията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88A2CA" w14:textId="77777777" w:rsidR="00AD6101" w:rsidRPr="00AD6101" w:rsidRDefault="00AD6101" w:rsidP="00AD6101">
            <w:pPr>
              <w:spacing w:before="100"/>
              <w:rPr>
                <w:color w:val="000000"/>
                <w:sz w:val="20"/>
                <w:szCs w:val="20"/>
              </w:rPr>
            </w:pPr>
            <w:r w:rsidRPr="00AD6101">
              <w:rPr>
                <w:sz w:val="20"/>
                <w:szCs w:val="20"/>
              </w:rPr>
              <w:t>Дирекция „Международни проекти“-МВР</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DA0FDB" w14:textId="77777777" w:rsidR="00AD6101" w:rsidRPr="00AD6101" w:rsidRDefault="00AD6101" w:rsidP="00AD6101">
            <w:pPr>
              <w:spacing w:before="100"/>
              <w:rPr>
                <w:color w:val="000000"/>
                <w:sz w:val="20"/>
                <w:szCs w:val="20"/>
              </w:rPr>
            </w:pPr>
            <w:r w:rsidRPr="00AD6101">
              <w:rPr>
                <w:sz w:val="20"/>
                <w:szCs w:val="20"/>
              </w:rPr>
              <w:t>Мая Петкова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9EEA52" w14:textId="77777777" w:rsidR="00AD6101" w:rsidRPr="00AD6101" w:rsidRDefault="00AD6101" w:rsidP="00AD6101">
            <w:pPr>
              <w:spacing w:before="100"/>
              <w:rPr>
                <w:color w:val="000000"/>
                <w:sz w:val="20"/>
                <w:szCs w:val="20"/>
              </w:rPr>
            </w:pPr>
            <w:r w:rsidRPr="00AD6101">
              <w:rPr>
                <w:sz w:val="20"/>
                <w:szCs w:val="20"/>
              </w:rPr>
              <w:t>Директор на Дирекция „Международни проекти“-МВР</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903A9D" w14:textId="77777777" w:rsidR="00AD6101" w:rsidRPr="00AD6101" w:rsidRDefault="00AD6101" w:rsidP="00AD6101">
            <w:pPr>
              <w:spacing w:before="100"/>
              <w:rPr>
                <w:color w:val="000000"/>
                <w:sz w:val="20"/>
                <w:szCs w:val="20"/>
              </w:rPr>
            </w:pPr>
            <w:r w:rsidRPr="00AD6101">
              <w:rPr>
                <w:sz w:val="20"/>
                <w:szCs w:val="20"/>
              </w:rPr>
              <w:t>dmp@mvr.bg</w:t>
            </w:r>
          </w:p>
        </w:tc>
      </w:tr>
    </w:tbl>
    <w:p w14:paraId="3A846881" w14:textId="77777777" w:rsidR="00A77B3E" w:rsidRDefault="00A77B3E">
      <w:pPr>
        <w:spacing w:before="100"/>
        <w:jc w:val="center"/>
        <w:rPr>
          <w:color w:val="000000"/>
          <w:sz w:val="20"/>
        </w:rPr>
        <w:sectPr w:rsidR="00A77B3E">
          <w:headerReference w:type="even" r:id="rId75"/>
          <w:headerReference w:type="default" r:id="rId76"/>
          <w:footerReference w:type="even" r:id="rId77"/>
          <w:footerReference w:type="default" r:id="rId78"/>
          <w:headerReference w:type="first" r:id="rId79"/>
          <w:footerReference w:type="first" r:id="rId80"/>
          <w:pgSz w:w="16838" w:h="11906" w:orient="landscape"/>
          <w:pgMar w:top="720" w:right="720" w:bottom="864" w:left="936" w:header="288" w:footer="72" w:gutter="0"/>
          <w:cols w:space="720"/>
          <w:noEndnote/>
          <w:docGrid w:linePitch="360"/>
        </w:sectPr>
      </w:pPr>
    </w:p>
    <w:p w14:paraId="04AA0265" w14:textId="77777777" w:rsidR="00A77B3E" w:rsidRPr="002B4B08" w:rsidRDefault="00E62050">
      <w:pPr>
        <w:pStyle w:val="Heading1"/>
        <w:spacing w:before="100" w:after="0"/>
        <w:rPr>
          <w:rFonts w:ascii="Times New Roman" w:hAnsi="Times New Roman" w:cs="Times New Roman"/>
          <w:b w:val="0"/>
          <w:color w:val="000000"/>
          <w:sz w:val="24"/>
          <w:lang w:val="bg-BG"/>
        </w:rPr>
      </w:pPr>
      <w:bookmarkStart w:id="41" w:name="_Toc129599313"/>
      <w:r>
        <w:rPr>
          <w:rFonts w:ascii="Times New Roman" w:hAnsi="Times New Roman" w:cs="Times New Roman"/>
          <w:b w:val="0"/>
          <w:color w:val="000000"/>
          <w:sz w:val="24"/>
        </w:rPr>
        <w:lastRenderedPageBreak/>
        <w:t xml:space="preserve">6. </w:t>
      </w:r>
      <w:r w:rsidR="002B4B08">
        <w:rPr>
          <w:rFonts w:ascii="Times New Roman" w:hAnsi="Times New Roman" w:cs="Times New Roman"/>
          <w:b w:val="0"/>
          <w:color w:val="000000"/>
          <w:sz w:val="24"/>
          <w:lang w:val="bg-BG"/>
        </w:rPr>
        <w:t>Партньорство</w:t>
      </w:r>
      <w:bookmarkEnd w:id="41"/>
    </w:p>
    <w:p w14:paraId="092A94E4" w14:textId="77777777" w:rsidR="00A77B3E" w:rsidRPr="00FB5D9F" w:rsidRDefault="002B4B08">
      <w:pPr>
        <w:spacing w:before="100"/>
        <w:rPr>
          <w:color w:val="000000"/>
          <w:sz w:val="16"/>
          <w:lang w:val="bg-BG"/>
        </w:rPr>
      </w:pPr>
      <w:r w:rsidRPr="00FB5D9F">
        <w:rPr>
          <w:color w:val="000000"/>
          <w:lang w:val="bg-BG"/>
        </w:rPr>
        <w:t>Основание: член 22, параграф 3, буква з) от РОР</w:t>
      </w:r>
    </w:p>
    <w:p w14:paraId="419EAB25" w14:textId="77777777" w:rsidR="00A77B3E" w:rsidRPr="00FB5D9F" w:rsidRDefault="00A77B3E">
      <w:pPr>
        <w:spacing w:before="100"/>
        <w:rPr>
          <w:color w:val="000000"/>
          <w:sz w:val="1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2F6D49" w:rsidRPr="00805365" w14:paraId="4AD1D07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188CBE" w14:textId="77777777" w:rsidR="00A77B3E" w:rsidRPr="00FB5D9F" w:rsidRDefault="00A77B3E">
            <w:pPr>
              <w:spacing w:before="100"/>
              <w:rPr>
                <w:color w:val="000000"/>
                <w:sz w:val="0"/>
                <w:lang w:val="bg-BG"/>
              </w:rPr>
            </w:pPr>
          </w:p>
          <w:p w14:paraId="6BDC6136" w14:textId="77777777" w:rsidR="002B4B08" w:rsidRPr="00FB5D9F" w:rsidRDefault="002B4B08" w:rsidP="002B4B08">
            <w:pPr>
              <w:spacing w:before="60" w:after="60"/>
              <w:jc w:val="both"/>
              <w:rPr>
                <w:lang w:val="bg-BG"/>
              </w:rPr>
            </w:pPr>
            <w:r w:rsidRPr="00FB5D9F">
              <w:rPr>
                <w:lang w:val="bg-BG"/>
              </w:rPr>
              <w:t>Принципът на партньорство е широко използван при подготовката, изпълнението, наблюдението и оценката на програмата по ФВС. Партньорството се осъществява чрез: сътрудничество с компетентните органи, включително участие в Тематичната работна група (ТРГ) за подготовка на Програмата и Комитета за наблюдение (КН); участие в междуинституционалните работни групи за разработване на другите програми в рамките на РОР и тясно сътрудничество с Европейската комисия (ЕК) на всеки етап от процеса.</w:t>
            </w:r>
          </w:p>
          <w:p w14:paraId="008A4F21" w14:textId="77777777" w:rsidR="002B4B08" w:rsidRPr="00FB5D9F" w:rsidRDefault="002B4B08" w:rsidP="002B4B08">
            <w:pPr>
              <w:spacing w:before="60" w:after="60"/>
              <w:jc w:val="both"/>
              <w:rPr>
                <w:lang w:val="bg-BG"/>
              </w:rPr>
            </w:pPr>
            <w:r w:rsidRPr="00FB5D9F">
              <w:rPr>
                <w:lang w:val="bg-BG"/>
              </w:rPr>
              <w:t xml:space="preserve">С Решение № 196 от 11 април 2019 г. на Министерския съвет на Република България Министерството на вътрешните работи (МВР) </w:t>
            </w:r>
            <w:r w:rsidR="004C5EFC">
              <w:rPr>
                <w:lang w:val="bg-BG"/>
              </w:rPr>
              <w:t>е</w:t>
            </w:r>
            <w:r w:rsidRPr="00FB5D9F">
              <w:rPr>
                <w:lang w:val="bg-BG"/>
              </w:rPr>
              <w:t xml:space="preserve"> определено като водеща институция за разработване на трите програми в област Вътрешни работи.</w:t>
            </w:r>
          </w:p>
          <w:p w14:paraId="550A57DD" w14:textId="77777777" w:rsidR="002B4B08" w:rsidRPr="00FB5D9F" w:rsidRDefault="002B4B08" w:rsidP="002B4B08">
            <w:pPr>
              <w:spacing w:before="60" w:after="60"/>
              <w:jc w:val="both"/>
              <w:rPr>
                <w:lang w:val="bg-BG"/>
              </w:rPr>
            </w:pPr>
            <w:r w:rsidRPr="00FB5D9F">
              <w:rPr>
                <w:lang w:val="bg-BG"/>
              </w:rPr>
              <w:t xml:space="preserve">В тази връзка дирекция „Международни проекти“-МВР стартира процедура за създаване на Тематична работна група </w:t>
            </w:r>
            <w:r w:rsidR="004C5EFC">
              <w:rPr>
                <w:lang w:val="bg-BG"/>
              </w:rPr>
              <w:t xml:space="preserve">(ТРГ) </w:t>
            </w:r>
            <w:r w:rsidRPr="00FB5D9F">
              <w:rPr>
                <w:lang w:val="bg-BG"/>
              </w:rPr>
              <w:t>за подготовка на програмата по ФВС за програмния период 2021</w:t>
            </w:r>
            <w:r w:rsidR="004C5EFC">
              <w:rPr>
                <w:lang w:val="bg-BG"/>
              </w:rPr>
              <w:t xml:space="preserve"> </w:t>
            </w:r>
            <w:r w:rsidRPr="00FB5D9F">
              <w:rPr>
                <w:lang w:val="bg-BG"/>
              </w:rPr>
              <w:t>-</w:t>
            </w:r>
            <w:r w:rsidR="004C5EFC">
              <w:rPr>
                <w:lang w:val="bg-BG"/>
              </w:rPr>
              <w:t xml:space="preserve"> </w:t>
            </w:r>
            <w:r w:rsidRPr="00FB5D9F">
              <w:rPr>
                <w:lang w:val="bg-BG"/>
              </w:rPr>
              <w:t>2027 г.</w:t>
            </w:r>
          </w:p>
          <w:p w14:paraId="08D99FF1" w14:textId="77777777" w:rsidR="002B4B08" w:rsidRPr="00FB5D9F" w:rsidRDefault="002B4B08" w:rsidP="002B4B08">
            <w:pPr>
              <w:spacing w:before="60" w:after="60"/>
              <w:jc w:val="both"/>
              <w:rPr>
                <w:lang w:val="bg-BG"/>
              </w:rPr>
            </w:pPr>
            <w:r w:rsidRPr="00FB5D9F">
              <w:rPr>
                <w:lang w:val="bg-BG"/>
              </w:rPr>
              <w:t>В съответствие с принципа на партньорство</w:t>
            </w:r>
            <w:r w:rsidR="004C5EFC">
              <w:rPr>
                <w:lang w:val="bg-BG"/>
              </w:rPr>
              <w:t xml:space="preserve"> съгласно</w:t>
            </w:r>
            <w:r w:rsidRPr="00FB5D9F">
              <w:rPr>
                <w:lang w:val="bg-BG"/>
              </w:rPr>
              <w:t xml:space="preserve"> чл. 8 от Регламента за общоприложимите разпоредби поканата за участие в ТРГ е отправена до компетентните органи на национално ниво в областта на вътрешната сигурност. </w:t>
            </w:r>
          </w:p>
          <w:p w14:paraId="1FD999A6" w14:textId="77777777" w:rsidR="002B4B08" w:rsidRPr="00FB5D9F" w:rsidRDefault="002B4B08" w:rsidP="002B4B08">
            <w:pPr>
              <w:spacing w:before="60" w:after="60"/>
              <w:jc w:val="both"/>
              <w:rPr>
                <w:lang w:val="bg-BG"/>
              </w:rPr>
            </w:pPr>
            <w:r w:rsidRPr="00FB5D9F">
              <w:rPr>
                <w:lang w:val="bg-BG"/>
              </w:rPr>
              <w:t>В допълнение на уеб страницата на финансовите инструменти за периода 2021 - 2027 г. беше публикувана покана за участие в Тематичната работна група на юридически лица с нестопанска цел; на международни организации и институции, работещи в областта на превенция и борба с престъпността, борбата с тероризма, ранно идентифициране и подкрепа на жертвите на престъпления, обучения за правоприлагащи и съдебни органи и т.н.</w:t>
            </w:r>
          </w:p>
          <w:p w14:paraId="79E83883" w14:textId="77777777" w:rsidR="002B4B08" w:rsidRPr="00FB5D9F" w:rsidRDefault="002B4B08" w:rsidP="002B4B08">
            <w:pPr>
              <w:spacing w:before="60" w:after="60"/>
              <w:jc w:val="both"/>
              <w:rPr>
                <w:lang w:val="bg-BG"/>
              </w:rPr>
            </w:pPr>
            <w:r w:rsidRPr="00FB5D9F">
              <w:rPr>
                <w:lang w:val="bg-BG"/>
              </w:rPr>
              <w:t xml:space="preserve">Със заповед на министъра на вътрешните работи беше създадена ТРГ за подготовка на програма по ФВС за периода 2021 - 2027 г., председателствана от заместник-министъра на вътрешните работи с компетентности и функции в областта на използването на фондовете на ЕС в области в обхвата на дейността на МВР. За да се осигури по-добро планиране и изпълнение на програмата и по-добро представителство на заинтересованите страни, обхватът на партньорите, включени в ТРГ бе разширен, включително чрез участие на НПО и международна организация. </w:t>
            </w:r>
          </w:p>
          <w:p w14:paraId="5CCCF72B" w14:textId="77777777" w:rsidR="00805365" w:rsidRDefault="002B4B08" w:rsidP="002B4B08">
            <w:pPr>
              <w:spacing w:before="60" w:after="60"/>
              <w:jc w:val="both"/>
              <w:rPr>
                <w:lang w:val="bg-BG"/>
              </w:rPr>
            </w:pPr>
            <w:r w:rsidRPr="00FB5D9F">
              <w:rPr>
                <w:lang w:val="bg-BG"/>
              </w:rPr>
              <w:t xml:space="preserve">ТРГ включва представители на съответните заинтересовани страни, работещи в областта на вътрешната сигурност - публични органи (структури на МВР – Главна дирекция „Национална полиция“, Главна дирекция „Борба с организираната престъпност“, Главна дирекция „Гранична полиция“, Главна дирекция „Жандармерия, специални операции и борба с тероризма“, Главна дирекция „Пожарна безопасност и защита на населението“, дирекция „Международно опиративно сътрудничество“, дирекция „Комуникационни и информационни системи“, Национален институт по криминалистика, дирекция „Вътрешна сигурност“, Столична дирекция на вътрешните работи, дирекция „Европейски съюз и международно сътрудничество“, Академия на МВР, дирекция „Български документи за самоличност“; Централно координационно звено при Министерски свет; Министерство на външните работи; Министерство на околната среда и водите; Министерство на регионалното развитие и благоустройство; Оперативна програма „Добро управление“; Държавна агенция „Национална сигурност“; Държавна агенция „Технически операции“; Министерство на електронното управление; Министерство на иновациите и растежа; Национална комисия за борба с трафика на хора; Национална служба по охрана), международни и неправителствени организации (Международна организация по миграция и Център за изследване на демокрацията), академичната общност (Университет за национално и световно стопанство). Други заинтересовани страни могат да участват или да бъдат консултирани при необходимост. </w:t>
            </w:r>
          </w:p>
          <w:p w14:paraId="3E3316F2" w14:textId="77777777" w:rsidR="002B4B08" w:rsidRPr="00FB5D9F" w:rsidRDefault="002B4B08" w:rsidP="002B4B08">
            <w:pPr>
              <w:spacing w:before="60" w:after="60"/>
              <w:jc w:val="both"/>
              <w:rPr>
                <w:lang w:val="bg-BG"/>
              </w:rPr>
            </w:pPr>
            <w:r w:rsidRPr="00FB5D9F">
              <w:rPr>
                <w:lang w:val="bg-BG"/>
              </w:rPr>
              <w:t xml:space="preserve">Посочените партньори ще бъдат поканени да участват в Комитета за наблюдение по ФВС. </w:t>
            </w:r>
          </w:p>
          <w:p w14:paraId="49041216" w14:textId="77777777" w:rsidR="002B4B08" w:rsidRPr="00FB5D9F" w:rsidRDefault="002B4B08" w:rsidP="002B4B08">
            <w:pPr>
              <w:spacing w:before="60" w:after="60"/>
              <w:jc w:val="both"/>
              <w:rPr>
                <w:lang w:val="bg-BG"/>
              </w:rPr>
            </w:pPr>
            <w:r w:rsidRPr="00FB5D9F">
              <w:rPr>
                <w:lang w:val="bg-BG"/>
              </w:rPr>
              <w:t xml:space="preserve">В периода януари 2020 г. – декември 2021 г. бяха проведени четири срещи на ТРГ. Поради извънредното положение в България след март 2020 г. и последващите ограничения, наложени във връзка с разпространението на </w:t>
            </w:r>
            <w:r w:rsidRPr="00190948">
              <w:t>COVID</w:t>
            </w:r>
            <w:r w:rsidRPr="00FB5D9F">
              <w:rPr>
                <w:lang w:val="bg-BG"/>
              </w:rPr>
              <w:t xml:space="preserve">-19, се проведоха неприсъствени дискусии по програмата и решенията бяха взети чрез писмена процедура. Членовете на ТРГ участват в процеса на подготовка </w:t>
            </w:r>
            <w:r w:rsidRPr="00FB5D9F">
              <w:rPr>
                <w:lang w:val="bg-BG"/>
              </w:rPr>
              <w:lastRenderedPageBreak/>
              <w:t>на програмата, като представят предложения за стратегически приоритети, които да бъдат включени в програмата, разглеждат и предоставят коментари и бележки преди изпращането ѝ на ЕК.</w:t>
            </w:r>
          </w:p>
          <w:p w14:paraId="3C36BD78" w14:textId="77777777" w:rsidR="002B4B08" w:rsidRPr="00FB5D9F" w:rsidRDefault="002B4B08" w:rsidP="002B4B08">
            <w:pPr>
              <w:spacing w:before="60" w:after="60"/>
              <w:jc w:val="both"/>
              <w:rPr>
                <w:lang w:val="bg-BG"/>
              </w:rPr>
            </w:pPr>
            <w:r w:rsidRPr="00FB5D9F">
              <w:rPr>
                <w:lang w:val="bg-BG"/>
              </w:rPr>
              <w:t xml:space="preserve">Проектът на програмата беше публикуван за обществено обсъждане на страницата на Управляващия орган, Портала за обществени консултации и Информационния портал за Европейските структурни и инвестиционни фондове. Беше организирано онлайн събитие за обществено обсъждане на програмата по ФВС с участието на заинтересованите страни. </w:t>
            </w:r>
          </w:p>
          <w:p w14:paraId="1B0F7884" w14:textId="77777777" w:rsidR="002B4B08" w:rsidRPr="00FB5D9F" w:rsidRDefault="002B4B08" w:rsidP="002B4B08">
            <w:pPr>
              <w:spacing w:before="60" w:after="60"/>
              <w:jc w:val="both"/>
              <w:rPr>
                <w:lang w:val="bg-BG"/>
              </w:rPr>
            </w:pPr>
            <w:r w:rsidRPr="00FB5D9F">
              <w:rPr>
                <w:lang w:val="bg-BG"/>
              </w:rPr>
              <w:t xml:space="preserve">В процеса на подготовка на програмата по ФВС други организации от икономическия и социалния сектор и регионални партньори (като синдикати, представители на работодатели, индустриални асоциации, асоциации на региони, асоциации на градове и общини) също бяха информирани </w:t>
            </w:r>
            <w:r w:rsidR="00805365">
              <w:rPr>
                <w:lang w:val="bg-BG"/>
              </w:rPr>
              <w:t xml:space="preserve">неколкократно </w:t>
            </w:r>
            <w:r w:rsidRPr="00FB5D9F">
              <w:rPr>
                <w:lang w:val="bg-BG"/>
              </w:rPr>
              <w:t xml:space="preserve">на страницата на Управляващия орган и Информационния портал за Европейските структурни и инвестиционни фондове за поканата за участие в онлайн събитие (за подготовката на програмата). Не бяха изпратени официални покани, </w:t>
            </w:r>
            <w:r w:rsidR="00805365">
              <w:rPr>
                <w:lang w:val="bg-BG"/>
              </w:rPr>
              <w:t>тъй като</w:t>
            </w:r>
            <w:r w:rsidRPr="00FB5D9F">
              <w:rPr>
                <w:lang w:val="bg-BG"/>
              </w:rPr>
              <w:t xml:space="preserve"> предложените дейности по програмата не се отнасят до експертизата на посочените организации. </w:t>
            </w:r>
          </w:p>
          <w:p w14:paraId="3B8F2437" w14:textId="77777777" w:rsidR="002B4B08" w:rsidRPr="00FB5D9F" w:rsidRDefault="002B4B08" w:rsidP="002B4B08">
            <w:pPr>
              <w:spacing w:before="60" w:after="60"/>
              <w:jc w:val="both"/>
              <w:rPr>
                <w:lang w:val="bg-BG"/>
              </w:rPr>
            </w:pPr>
            <w:r w:rsidRPr="00FB5D9F">
              <w:rPr>
                <w:lang w:val="bg-BG"/>
              </w:rPr>
              <w:t>Предвид фокус</w:t>
            </w:r>
            <w:r w:rsidR="00805365">
              <w:rPr>
                <w:lang w:val="bg-BG"/>
              </w:rPr>
              <w:t>а</w:t>
            </w:r>
            <w:r w:rsidRPr="00FB5D9F">
              <w:rPr>
                <w:lang w:val="bg-BG"/>
              </w:rPr>
              <w:t xml:space="preserve"> на програмата подобни организации няма да участват в Комитета за наблюдение засега. В рамките на изпълнение на програмата може да се установи контакт и да бъдат поканени за участие в Комитета за наблюдение други организации, при условие че тяхното сътрудничество се счете за подходящо и необходимо. </w:t>
            </w:r>
          </w:p>
          <w:p w14:paraId="7D6D17A9" w14:textId="77777777" w:rsidR="002B4B08" w:rsidRPr="00FB5D9F" w:rsidRDefault="002B4B08" w:rsidP="002B4B08">
            <w:pPr>
              <w:spacing w:before="60" w:after="60"/>
              <w:jc w:val="both"/>
              <w:rPr>
                <w:lang w:val="bg-BG"/>
              </w:rPr>
            </w:pPr>
            <w:r w:rsidRPr="00FB5D9F">
              <w:rPr>
                <w:lang w:val="bg-BG"/>
              </w:rPr>
              <w:t>С Решение № 712 от 6 октомври 2020 г. на Министерския съвет на Република България дирекция „Международни проекти“ е определена за Управляващ орган (УО) на Програмата по ФВС за програмния период 2021 - 2027 г.</w:t>
            </w:r>
          </w:p>
          <w:p w14:paraId="5D31ABC0" w14:textId="77777777" w:rsidR="002B4B08" w:rsidRPr="00FB5D9F" w:rsidRDefault="002B4B08" w:rsidP="002B4B08">
            <w:pPr>
              <w:spacing w:before="60" w:after="60"/>
              <w:jc w:val="both"/>
              <w:rPr>
                <w:lang w:val="bg-BG"/>
              </w:rPr>
            </w:pPr>
            <w:r w:rsidRPr="00FB5D9F">
              <w:rPr>
                <w:lang w:val="bg-BG"/>
              </w:rPr>
              <w:t>В съответствие с разпоредбите на чл. 39 от Регламента за общоприложимите разпоредби, се организира Комитет за наблюдение (КН) чрез прозрачен процес и в съответствие с принципа на балансирано представителство на съответните публични органи и представителите на партньорите.</w:t>
            </w:r>
          </w:p>
          <w:p w14:paraId="5596BA3E" w14:textId="77777777" w:rsidR="002B4B08" w:rsidRDefault="002B4B08" w:rsidP="002B4B08">
            <w:pPr>
              <w:spacing w:before="60" w:after="60"/>
              <w:jc w:val="both"/>
              <w:rPr>
                <w:lang w:val="bg-BG"/>
              </w:rPr>
            </w:pPr>
            <w:r w:rsidRPr="00FB5D9F">
              <w:rPr>
                <w:lang w:val="bg-BG"/>
              </w:rPr>
              <w:t xml:space="preserve">В съответствие с принципа на партньорство, на основание чл. 8 от РОР ще бъде изпратена покана за участие в КН до компетентните органи и организации на национално ниво в областта на вътрешната сигурност. За да се осигури представителство на всички заинтересовани страни Управляващият орган може да покани представители на организации, които не участват в КН, както и такива, които не получават подкрепа от фонда, при дискутирането на теми, свързани със специфични въпроси или различни инициативи. Практическият опит и експертиза на </w:t>
            </w:r>
            <w:r w:rsidR="004C5EFC">
              <w:rPr>
                <w:lang w:val="bg-BG"/>
              </w:rPr>
              <w:t>тези</w:t>
            </w:r>
            <w:r w:rsidRPr="00FB5D9F">
              <w:rPr>
                <w:lang w:val="bg-BG"/>
              </w:rPr>
              <w:t xml:space="preserve"> организации </w:t>
            </w:r>
            <w:r w:rsidR="004C5EFC" w:rsidRPr="004C5EFC">
              <w:rPr>
                <w:lang w:val="bg-BG"/>
              </w:rPr>
              <w:t xml:space="preserve">се считат за ценни за </w:t>
            </w:r>
            <w:r w:rsidRPr="00FB5D9F">
              <w:rPr>
                <w:lang w:val="bg-BG"/>
              </w:rPr>
              <w:t>изпълнението и оценк</w:t>
            </w:r>
            <w:r w:rsidR="00805365">
              <w:rPr>
                <w:lang w:val="bg-BG"/>
              </w:rPr>
              <w:t>ата на предвидените дейности.</w:t>
            </w:r>
          </w:p>
          <w:p w14:paraId="1273C008" w14:textId="77777777" w:rsidR="00805365" w:rsidRDefault="00805365" w:rsidP="002B4B08">
            <w:pPr>
              <w:spacing w:before="60" w:after="60"/>
              <w:jc w:val="both"/>
              <w:rPr>
                <w:lang w:val="bg-BG"/>
              </w:rPr>
            </w:pPr>
            <w:r w:rsidRPr="00805365">
              <w:rPr>
                <w:lang w:val="bg-BG"/>
              </w:rPr>
              <w:t>Зачитането на неприкосновеността на личния живот и правата на човека също играят важна роля в проектите и когато това е чувствително, трябва да му се обърне специално внимание чрез включване на съответните партньори във фазата на разработване, изпълнение и мониторинг за различните аспекти, включително етични, правни и свързани с поверителността на избраните проекти, свързани с ИИ по специфичните цели</w:t>
            </w:r>
            <w:r>
              <w:rPr>
                <w:lang w:val="bg-BG"/>
              </w:rPr>
              <w:t>.</w:t>
            </w:r>
          </w:p>
          <w:p w14:paraId="7D9AAEC5" w14:textId="77777777" w:rsidR="002B4B08" w:rsidRPr="00FB5D9F" w:rsidRDefault="002B4B08" w:rsidP="002B4B08">
            <w:pPr>
              <w:spacing w:before="60" w:after="60"/>
              <w:jc w:val="both"/>
              <w:rPr>
                <w:lang w:val="bg-BG"/>
              </w:rPr>
            </w:pPr>
            <w:r w:rsidRPr="00FB5D9F">
              <w:rPr>
                <w:lang w:val="bg-BG"/>
              </w:rPr>
              <w:t>КН на програмата по ФВС се създава със заповед на заместник-министъра на вътрешните работи и се председателства от ръководителя на Управляващия орган на програмата. Представителите на съответните институции се определят въз основа на критерии, предварително дефинирани и одобрени от Управляващия орган и разработени в съответствие с чл. 39, ал. 1 от РОР. Представители на ЕК и на Одитния орган участват в работата на КН като наблюдатели.</w:t>
            </w:r>
          </w:p>
          <w:p w14:paraId="322FC0CA" w14:textId="77777777" w:rsidR="002B4B08" w:rsidRPr="00FB5D9F" w:rsidRDefault="002B4B08" w:rsidP="002B4B08">
            <w:pPr>
              <w:spacing w:before="60" w:after="60"/>
              <w:jc w:val="both"/>
              <w:rPr>
                <w:lang w:val="bg-BG"/>
              </w:rPr>
            </w:pPr>
            <w:r w:rsidRPr="00FB5D9F">
              <w:rPr>
                <w:lang w:val="bg-BG"/>
              </w:rPr>
              <w:t>Списъкът на членовете на КН се публикува на уебсайта, посочен в чл. 49, параграф 1 от РОР.</w:t>
            </w:r>
          </w:p>
          <w:p w14:paraId="6D03DDB9" w14:textId="77777777" w:rsidR="002B4B08" w:rsidRPr="00FB5D9F" w:rsidRDefault="002B4B08" w:rsidP="002B4B08">
            <w:pPr>
              <w:spacing w:before="60" w:after="60"/>
              <w:jc w:val="both"/>
              <w:rPr>
                <w:lang w:val="bg-BG"/>
              </w:rPr>
            </w:pPr>
            <w:r w:rsidRPr="00FB5D9F">
              <w:rPr>
                <w:lang w:val="bg-BG"/>
              </w:rPr>
              <w:t>Процедурата на работа на Комитета за наблюдение се регулира от Вътрешни правила, които ще бъдат приети в рамките на първото заседание. Тези правила определят правомощията и отговорностите на председателя и на членовете на Комитета, като тяхното поведение и това на наблюдателите се основават на следните принципи: законност, безкористност, безпристрастност, независимост, обективност, публичност, отговорност и професионално поведение.</w:t>
            </w:r>
          </w:p>
          <w:p w14:paraId="485DE1F7" w14:textId="77777777" w:rsidR="002B4B08" w:rsidRPr="00FB5D9F" w:rsidRDefault="002B4B08" w:rsidP="002B4B08">
            <w:pPr>
              <w:spacing w:before="60" w:after="60"/>
              <w:jc w:val="both"/>
              <w:rPr>
                <w:lang w:val="bg-BG"/>
              </w:rPr>
            </w:pPr>
            <w:r w:rsidRPr="00FB5D9F">
              <w:rPr>
                <w:lang w:val="bg-BG"/>
              </w:rPr>
              <w:t xml:space="preserve">Комитетът за наблюдение се събира поне два пъти годишно (присъствено или чрез видеоконферентна връзка, в зависимост от текущата ситуация) и, ако е необходимо, </w:t>
            </w:r>
            <w:r w:rsidRPr="00190948">
              <w:t>ad</w:t>
            </w:r>
            <w:r w:rsidRPr="00FB5D9F">
              <w:rPr>
                <w:lang w:val="bg-BG"/>
              </w:rPr>
              <w:t xml:space="preserve"> </w:t>
            </w:r>
            <w:r w:rsidRPr="00190948">
              <w:t>hoc</w:t>
            </w:r>
            <w:r w:rsidRPr="00FB5D9F">
              <w:rPr>
                <w:lang w:val="bg-BG"/>
              </w:rPr>
              <w:t>.</w:t>
            </w:r>
          </w:p>
          <w:p w14:paraId="54B29FF7" w14:textId="77777777" w:rsidR="002B4B08" w:rsidRPr="00FB5D9F" w:rsidRDefault="002B4B08" w:rsidP="002B4B08">
            <w:pPr>
              <w:spacing w:before="60" w:after="60"/>
              <w:jc w:val="both"/>
              <w:rPr>
                <w:lang w:val="bg-BG"/>
              </w:rPr>
            </w:pPr>
            <w:r w:rsidRPr="00FB5D9F">
              <w:rPr>
                <w:lang w:val="bg-BG"/>
              </w:rPr>
              <w:t xml:space="preserve">Функциите на КН са в съответствие с разпоредбите на чл. 40 (1) и (2) от Регламента за общоприложимите разпоредби. Комитетът проверява изпълнението на програмата и постигането на етапите и целите, както и всички въпроси, които засягат изпълнението на програмата и мерките, </w:t>
            </w:r>
            <w:r w:rsidRPr="00FB5D9F">
              <w:rPr>
                <w:lang w:val="bg-BG"/>
              </w:rPr>
              <w:lastRenderedPageBreak/>
              <w:t>предприети за справяне с тези въпроси, включително нередности. КН също така проверява приноса на програмата за справяне с предизвикателствата, идентифицирани в съответната държава- конкретни препоръки, които са свързани с изпълнението на програмата; изпълнението на дейности за комуникация и визуализация и не на последно място постигнатия напредък в извършването на оценката, синтез на оценката и последващите действия във връзка с резултатите. В допълнение Комитетът одобрява всяко предложение на УО за измененията на програмата, както и годишния доклад за изпълнението.</w:t>
            </w:r>
          </w:p>
          <w:p w14:paraId="63AF9B66" w14:textId="77777777" w:rsidR="002B4B08" w:rsidRPr="00FB5D9F" w:rsidRDefault="002B4B08" w:rsidP="002B4B08">
            <w:pPr>
              <w:spacing w:before="60" w:after="60"/>
              <w:jc w:val="both"/>
              <w:rPr>
                <w:lang w:val="bg-BG"/>
              </w:rPr>
            </w:pPr>
            <w:r w:rsidRPr="00FB5D9F">
              <w:rPr>
                <w:lang w:val="bg-BG"/>
              </w:rPr>
              <w:t>Изпълнението на програмата по ФВС следва същите принципи на партньорство, както в процеса на нейното изготвяне. Управляващият орган осигурява широка публичност на партньорите чрез предоставяне на подходяща информация на уебсайта на Министерството на вътрешните работи, както и чрез провеждане на редовни информационни събития, отворени за всички заинтересовани страни. Комитетът също така играе основна роля в наблюдението на напредъка по изпълнението на програмата по ФВС и на бъдещото развитие, консултиране и / или вземане на решения, свързани с преразглеждането на програмата и / или одобряването на докладите от мониторинга.</w:t>
            </w:r>
          </w:p>
          <w:p w14:paraId="62E97BA2" w14:textId="77777777" w:rsidR="002B4B08" w:rsidRPr="00FB5D9F" w:rsidRDefault="002B4B08" w:rsidP="002B4B08">
            <w:pPr>
              <w:spacing w:before="60" w:after="60"/>
              <w:jc w:val="both"/>
              <w:rPr>
                <w:lang w:val="bg-BG"/>
              </w:rPr>
            </w:pPr>
            <w:r w:rsidRPr="00FB5D9F">
              <w:rPr>
                <w:lang w:val="bg-BG"/>
              </w:rPr>
              <w:t>В допълнение Информационната система за управление и контрол ще продължи да се използва за наблюдение на индикаторите и информацията, необходими за проследяване на напредъка към целите, договорени в програмата.</w:t>
            </w:r>
          </w:p>
          <w:p w14:paraId="3238DF0D" w14:textId="77777777" w:rsidR="00A77B3E" w:rsidRPr="00FB5D9F" w:rsidRDefault="002B4B08" w:rsidP="002B4B08">
            <w:pPr>
              <w:spacing w:before="100"/>
              <w:rPr>
                <w:color w:val="000000"/>
                <w:lang w:val="bg-BG"/>
              </w:rPr>
            </w:pPr>
            <w:r w:rsidRPr="00FB5D9F">
              <w:rPr>
                <w:lang w:val="bg-BG"/>
              </w:rPr>
              <w:t>Допълването на програмата и съответните действия към други политики се осъществява на етапа на програмиране чрез участието на представители на Министерството на вътрешните работи в междуинституционалните тематични работни групи за разработване на другите програми, включени в Регламента за общоприложимите разпоредби, както и участието на техните представители в подготовката на програмите в област „вътрешни работи“. Към настоящия момент експерти от дирекция „Международни проекти“ участват в 14 тематични работни групи за разработване на програми, финансирани от ЕС, и програми за териториално сътрудничество на Република България за периода 2021 - 2027 г. и за подготовката на Споразумението за партньорство за програмния период 2021 - 2027 г.</w:t>
            </w:r>
          </w:p>
        </w:tc>
      </w:tr>
    </w:tbl>
    <w:p w14:paraId="6E37176E" w14:textId="77777777" w:rsidR="00A77B3E" w:rsidRPr="00FB5D9F" w:rsidRDefault="00E62050">
      <w:pPr>
        <w:pStyle w:val="Heading1"/>
        <w:spacing w:before="100" w:after="0"/>
        <w:rPr>
          <w:rFonts w:ascii="Times New Roman" w:hAnsi="Times New Roman" w:cs="Times New Roman"/>
          <w:b w:val="0"/>
          <w:color w:val="000000"/>
          <w:sz w:val="24"/>
          <w:lang w:val="bg-BG"/>
        </w:rPr>
      </w:pPr>
      <w:r w:rsidRPr="00FB5D9F">
        <w:rPr>
          <w:rFonts w:ascii="Times New Roman" w:hAnsi="Times New Roman" w:cs="Times New Roman"/>
          <w:b w:val="0"/>
          <w:color w:val="000000"/>
          <w:sz w:val="24"/>
          <w:lang w:val="bg-BG"/>
        </w:rPr>
        <w:lastRenderedPageBreak/>
        <w:br w:type="page"/>
      </w:r>
      <w:bookmarkStart w:id="42" w:name="_Toc129599314"/>
      <w:r w:rsidRPr="00FB5D9F">
        <w:rPr>
          <w:rFonts w:ascii="Times New Roman" w:hAnsi="Times New Roman" w:cs="Times New Roman"/>
          <w:b w:val="0"/>
          <w:color w:val="000000"/>
          <w:sz w:val="24"/>
          <w:lang w:val="bg-BG"/>
        </w:rPr>
        <w:lastRenderedPageBreak/>
        <w:t xml:space="preserve">7. </w:t>
      </w:r>
      <w:r w:rsidR="002B4B08" w:rsidRPr="00FB5D9F">
        <w:rPr>
          <w:rFonts w:ascii="Times New Roman" w:hAnsi="Times New Roman" w:cs="Times New Roman"/>
          <w:b w:val="0"/>
          <w:color w:val="000000"/>
          <w:sz w:val="24"/>
          <w:lang w:val="bg-BG"/>
        </w:rPr>
        <w:t>Комуникация и видимост</w:t>
      </w:r>
      <w:bookmarkEnd w:id="42"/>
    </w:p>
    <w:p w14:paraId="528ACBA0" w14:textId="77777777" w:rsidR="00A77B3E" w:rsidRPr="00FB5D9F" w:rsidRDefault="002B4B08">
      <w:pPr>
        <w:spacing w:before="100"/>
        <w:rPr>
          <w:color w:val="000000"/>
          <w:sz w:val="16"/>
          <w:lang w:val="bg-BG"/>
        </w:rPr>
      </w:pPr>
      <w:r w:rsidRPr="00FB5D9F">
        <w:rPr>
          <w:color w:val="000000"/>
          <w:lang w:val="bg-BG"/>
        </w:rPr>
        <w:t>Основание: член 22, параграф 3, буква й) от РОР</w:t>
      </w:r>
    </w:p>
    <w:p w14:paraId="31B28BEC" w14:textId="77777777" w:rsidR="00A77B3E" w:rsidRPr="00FB5D9F" w:rsidRDefault="00A77B3E">
      <w:pPr>
        <w:spacing w:before="100"/>
        <w:rPr>
          <w:color w:val="000000"/>
          <w:sz w:val="1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2F6D49" w:rsidRPr="00805365" w14:paraId="765A460E"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AEAB90" w14:textId="77777777" w:rsidR="00A77B3E" w:rsidRPr="00FB5D9F" w:rsidRDefault="00A77B3E">
            <w:pPr>
              <w:spacing w:before="100"/>
              <w:rPr>
                <w:color w:val="000000"/>
                <w:sz w:val="0"/>
                <w:lang w:val="bg-BG"/>
              </w:rPr>
            </w:pPr>
          </w:p>
          <w:p w14:paraId="2CF86A16" w14:textId="77777777" w:rsidR="002B4B08" w:rsidRPr="00FB5D9F" w:rsidRDefault="002B4B08" w:rsidP="002B4B08">
            <w:pPr>
              <w:spacing w:before="60" w:after="60"/>
              <w:jc w:val="both"/>
              <w:rPr>
                <w:lang w:val="bg-BG"/>
              </w:rPr>
            </w:pPr>
            <w:r w:rsidRPr="00FB5D9F">
              <w:rPr>
                <w:lang w:val="bg-BG"/>
              </w:rPr>
              <w:t>Целта на комуникационния подход е да се осигури публичност и информация за фонда, добавената стойност от финансирането на ЕС, програмата и нейните цели, резултати и добри практики сред широката общественост, неправителствените организации, публичните органи в България, ангажирани с управление на средствата от ЕС  за дейностите и резултатите от програмата, академичните среди и др.</w:t>
            </w:r>
          </w:p>
          <w:p w14:paraId="510A9F5D" w14:textId="77777777" w:rsidR="002B4B08" w:rsidRPr="00FB5D9F" w:rsidRDefault="002B4B08" w:rsidP="002B4B08">
            <w:pPr>
              <w:spacing w:before="60" w:after="60"/>
              <w:jc w:val="both"/>
              <w:rPr>
                <w:lang w:val="bg-BG"/>
              </w:rPr>
            </w:pPr>
            <w:r w:rsidRPr="00FB5D9F">
              <w:rPr>
                <w:lang w:val="bg-BG"/>
              </w:rPr>
              <w:t xml:space="preserve">Сред целите на комуникационните мерки е да се гарантира прозрачност и публичност на дейностите на Управляващия орган (УО), да се повиши осведомеността и компетентността на бенефициентите в изпълнението на проектите, да се повиши осведомеността сред целевите групи относно постигнатото с подкрепата на финансирането от ЕС. </w:t>
            </w:r>
          </w:p>
          <w:p w14:paraId="1F9096AB" w14:textId="77777777" w:rsidR="002B4B08" w:rsidRPr="00FB5D9F" w:rsidRDefault="002B4B08" w:rsidP="002B4B08">
            <w:pPr>
              <w:spacing w:before="60" w:after="60"/>
              <w:jc w:val="both"/>
              <w:rPr>
                <w:lang w:val="bg-BG"/>
              </w:rPr>
            </w:pPr>
            <w:r w:rsidRPr="00FB5D9F">
              <w:rPr>
                <w:lang w:val="bg-BG"/>
              </w:rPr>
              <w:t xml:space="preserve">Целевата аудитория включва: реални и потенциални бенефициенти на програмата, граждани, неправителствени организации, академични общности, администрацията, която е ангажирана с управлението на европейските средства в България. </w:t>
            </w:r>
          </w:p>
          <w:p w14:paraId="08F0D679" w14:textId="77777777" w:rsidR="002B4B08" w:rsidRPr="00FB5D9F" w:rsidRDefault="002B4B08" w:rsidP="002B4B08">
            <w:pPr>
              <w:spacing w:before="60" w:after="60"/>
              <w:jc w:val="both"/>
              <w:rPr>
                <w:lang w:val="bg-BG"/>
              </w:rPr>
            </w:pPr>
            <w:r w:rsidRPr="00FB5D9F">
              <w:rPr>
                <w:lang w:val="bg-BG"/>
              </w:rPr>
              <w:t xml:space="preserve">Мерките за комуникация и визуализация в периода 2021-2027 ще следват изцяло разпоредбите на Регламента за общоприложимите разпоредби (РОР) в тази област. </w:t>
            </w:r>
          </w:p>
          <w:p w14:paraId="1A6083DA" w14:textId="77777777" w:rsidR="002B4B08" w:rsidRPr="00FB5D9F" w:rsidRDefault="002B4B08" w:rsidP="002B4B08">
            <w:pPr>
              <w:spacing w:before="60" w:after="60"/>
              <w:jc w:val="both"/>
              <w:rPr>
                <w:lang w:val="bg-BG"/>
              </w:rPr>
            </w:pPr>
            <w:r w:rsidRPr="00FB5D9F">
              <w:rPr>
                <w:lang w:val="bg-BG"/>
              </w:rPr>
              <w:t>УО определя служител по комуникацията, който отговаря за трите програми в областта на вътрешните работи.</w:t>
            </w:r>
          </w:p>
          <w:p w14:paraId="03AEF5E6" w14:textId="77777777" w:rsidR="002B4B08" w:rsidRPr="00FB5D9F" w:rsidRDefault="002B4B08" w:rsidP="002B4B08">
            <w:pPr>
              <w:spacing w:before="60" w:after="60"/>
              <w:jc w:val="both"/>
              <w:rPr>
                <w:lang w:val="bg-BG"/>
              </w:rPr>
            </w:pPr>
            <w:r w:rsidRPr="00FB5D9F">
              <w:rPr>
                <w:lang w:val="bg-BG"/>
              </w:rPr>
              <w:t xml:space="preserve">УО участва в мрежата </w:t>
            </w:r>
            <w:r w:rsidRPr="00346566">
              <w:t>INFORM</w:t>
            </w:r>
            <w:r w:rsidRPr="00FB5D9F">
              <w:rPr>
                <w:lang w:val="bg-BG"/>
              </w:rPr>
              <w:t xml:space="preserve">, в рамките на която взаимодейства с други държави членки и участва в обучения, обмен на опит и споделяне на добри практики. </w:t>
            </w:r>
          </w:p>
          <w:p w14:paraId="6A1C38C4" w14:textId="77777777" w:rsidR="002B4B08" w:rsidRPr="00FB5D9F" w:rsidRDefault="002B4B08" w:rsidP="002B4B08">
            <w:pPr>
              <w:spacing w:before="60" w:after="60"/>
              <w:jc w:val="both"/>
              <w:rPr>
                <w:lang w:val="bg-BG"/>
              </w:rPr>
            </w:pPr>
            <w:r w:rsidRPr="00FB5D9F">
              <w:rPr>
                <w:lang w:val="bg-BG"/>
              </w:rPr>
              <w:t>Ще бъдат използвани подходящи и изпробвани във времето в практиката на УО комуникационни канали, чрез които съответните целеви групи ще бъдат достигнати и ще се осигури публичност и видимост на инициативите в рамките на програмата.</w:t>
            </w:r>
          </w:p>
          <w:p w14:paraId="57BAAA97" w14:textId="77777777" w:rsidR="002B4B08" w:rsidRPr="00FB5D9F" w:rsidRDefault="002B4B08" w:rsidP="002B4B08">
            <w:pPr>
              <w:spacing w:before="60" w:after="60"/>
              <w:jc w:val="both"/>
              <w:rPr>
                <w:lang w:val="bg-BG"/>
              </w:rPr>
            </w:pPr>
            <w:r w:rsidRPr="00FB5D9F">
              <w:rPr>
                <w:lang w:val="bg-BG"/>
              </w:rPr>
              <w:t>УО използва следните канали за комуникация със съответните заинтересовани страни:</w:t>
            </w:r>
          </w:p>
          <w:p w14:paraId="2F2F5892" w14:textId="77777777" w:rsidR="002B4B08" w:rsidRPr="00FB5D9F" w:rsidRDefault="002B4B08" w:rsidP="002B4B08">
            <w:pPr>
              <w:spacing w:before="60" w:after="60"/>
              <w:jc w:val="both"/>
              <w:rPr>
                <w:lang w:val="bg-BG"/>
              </w:rPr>
            </w:pPr>
            <w:r w:rsidRPr="00FB5D9F">
              <w:rPr>
                <w:lang w:val="bg-BG"/>
              </w:rPr>
              <w:t>1. Сайтът на УО е основният комуникационен канал, чрез който информацията ще достига до най-широк обхват от потребители. Ще бъде предоставена информация за програмата, включваща целите, наличните финансови възможности, списък на операциите, избрани за подкрепа и резултатите. Публикуваните документи ще бъдат в отворени, машинно четими формати, които ще позволяват сортиране, търсене, извличане, сравняване и повторна употреба на данните.</w:t>
            </w:r>
          </w:p>
          <w:p w14:paraId="46659A3A" w14:textId="77777777" w:rsidR="002B4B08" w:rsidRPr="00FB5D9F" w:rsidRDefault="002B4B08" w:rsidP="002B4B08">
            <w:pPr>
              <w:spacing w:before="60" w:after="60"/>
              <w:jc w:val="both"/>
              <w:rPr>
                <w:lang w:val="bg-BG"/>
              </w:rPr>
            </w:pPr>
            <w:r w:rsidRPr="00FB5D9F">
              <w:rPr>
                <w:lang w:val="bg-BG"/>
              </w:rPr>
              <w:t>В допълнение, на уебсайта и на Фейсбук страницата ще могат да бъдат публикувани кратки видеа, за да се популяризират истории за успешни национални и европейски проекти, подкрепени в рамките на програмата.</w:t>
            </w:r>
          </w:p>
          <w:p w14:paraId="42DA7DF5" w14:textId="77777777" w:rsidR="002B4B08" w:rsidRPr="00FB5D9F" w:rsidRDefault="002B4B08" w:rsidP="002B4B08">
            <w:pPr>
              <w:spacing w:before="60" w:after="60"/>
              <w:jc w:val="both"/>
              <w:rPr>
                <w:lang w:val="bg-BG"/>
              </w:rPr>
            </w:pPr>
            <w:r w:rsidRPr="00FB5D9F">
              <w:rPr>
                <w:lang w:val="bg-BG"/>
              </w:rPr>
              <w:t xml:space="preserve">2. Ще бъдат провеждани информационни дни за потенциални бенефициенти, на които ще бъдат дадени разяснения и насоки за разработване на проектните предложения, както и ще бъдат обсъдени идентифицирани въпроси. Освен това, ще бъдат организирани публични събития в рамките на изпълнението на програмата. </w:t>
            </w:r>
          </w:p>
          <w:p w14:paraId="531F0681" w14:textId="77777777" w:rsidR="002B4B08" w:rsidRPr="00FB5D9F" w:rsidRDefault="002B4B08" w:rsidP="002B4B08">
            <w:pPr>
              <w:spacing w:before="60" w:after="60"/>
              <w:jc w:val="both"/>
              <w:rPr>
                <w:lang w:val="bg-BG"/>
              </w:rPr>
            </w:pPr>
            <w:r w:rsidRPr="00FB5D9F">
              <w:rPr>
                <w:lang w:val="bg-BG"/>
              </w:rPr>
              <w:t>3. Фейсбук е допълнителен комуникационен канал, на който на отделна страница за програмата ще се публикуват новини и съобщения за различни събития и инициативи на УО, добри практики и т.н.</w:t>
            </w:r>
          </w:p>
          <w:p w14:paraId="68496F48" w14:textId="77777777" w:rsidR="002B4B08" w:rsidRPr="00FB5D9F" w:rsidRDefault="002B4B08" w:rsidP="002B4B08">
            <w:pPr>
              <w:spacing w:before="60" w:after="60"/>
              <w:jc w:val="both"/>
              <w:rPr>
                <w:lang w:val="bg-BG"/>
              </w:rPr>
            </w:pPr>
            <w:r w:rsidRPr="00FB5D9F">
              <w:rPr>
                <w:lang w:val="bg-BG"/>
              </w:rPr>
              <w:t>4. Информационна система за управление и наблюдение на фондовете на ЕС в България – ИСУН 2020 позволява на потенциалните бенефициенти да търсят и кандидатстват по покани за представяне на проектни предложения и, от друга страна, дава възможност на УО да оценява проектните предложения и да контролира тяхното изпълнение.</w:t>
            </w:r>
          </w:p>
          <w:p w14:paraId="643F16FD" w14:textId="77777777" w:rsidR="002B4B08" w:rsidRPr="00FB5D9F" w:rsidRDefault="002B4B08" w:rsidP="002B4B08">
            <w:pPr>
              <w:spacing w:before="60" w:after="60"/>
              <w:jc w:val="both"/>
              <w:rPr>
                <w:lang w:val="bg-BG"/>
              </w:rPr>
            </w:pPr>
            <w:r w:rsidRPr="00FB5D9F">
              <w:rPr>
                <w:lang w:val="bg-BG"/>
              </w:rPr>
              <w:t>5. Актуална информация за програмата, нейното изпълнение, инициативи на УО, документи и т.н. ще се публикуват на Единния информационен портал за изпълнение и управление на фондовете на ЕС в България (</w:t>
            </w:r>
            <w:hyperlink r:id="rId81" w:history="1">
              <w:r w:rsidRPr="00026ADA">
                <w:rPr>
                  <w:rStyle w:val="Hyperlink"/>
                </w:rPr>
                <w:t>www</w:t>
              </w:r>
              <w:r w:rsidRPr="00FB5D9F">
                <w:rPr>
                  <w:rStyle w:val="Hyperlink"/>
                  <w:lang w:val="bg-BG"/>
                </w:rPr>
                <w:t>.</w:t>
              </w:r>
              <w:r w:rsidRPr="00026ADA">
                <w:rPr>
                  <w:rStyle w:val="Hyperlink"/>
                </w:rPr>
                <w:t>eufunds</w:t>
              </w:r>
              <w:r w:rsidRPr="00FB5D9F">
                <w:rPr>
                  <w:rStyle w:val="Hyperlink"/>
                  <w:lang w:val="bg-BG"/>
                </w:rPr>
                <w:t>.</w:t>
              </w:r>
              <w:r w:rsidRPr="00026ADA">
                <w:rPr>
                  <w:rStyle w:val="Hyperlink"/>
                </w:rPr>
                <w:t>bg</w:t>
              </w:r>
            </w:hyperlink>
            <w:r w:rsidRPr="00FB5D9F">
              <w:rPr>
                <w:lang w:val="bg-BG"/>
              </w:rPr>
              <w:t>).</w:t>
            </w:r>
          </w:p>
          <w:p w14:paraId="6361CF16" w14:textId="77777777" w:rsidR="002B4B08" w:rsidRPr="00FB5D9F" w:rsidRDefault="002B4B08" w:rsidP="002B4B08">
            <w:pPr>
              <w:spacing w:before="60" w:after="60"/>
              <w:jc w:val="both"/>
              <w:rPr>
                <w:lang w:val="bg-BG"/>
              </w:rPr>
            </w:pPr>
            <w:r w:rsidRPr="00FB5D9F">
              <w:rPr>
                <w:lang w:val="bg-BG"/>
              </w:rPr>
              <w:t xml:space="preserve">Изпълнението на мерките за комуникация и публичност ще бъдат наблюдавани и оценявани регулярно. Целта е да се осигури качество на комуникационния процес, да се идентифицират слабости и силните страни и да се предприемат корективни действия. </w:t>
            </w:r>
          </w:p>
          <w:p w14:paraId="3A525D67" w14:textId="77777777" w:rsidR="002B4B08" w:rsidRPr="00FB5D9F" w:rsidRDefault="002B4B08" w:rsidP="002B4B08">
            <w:pPr>
              <w:spacing w:before="60" w:after="60"/>
              <w:jc w:val="both"/>
              <w:rPr>
                <w:lang w:val="bg-BG"/>
              </w:rPr>
            </w:pPr>
            <w:r w:rsidRPr="00FB5D9F">
              <w:rPr>
                <w:lang w:val="bg-BG"/>
              </w:rPr>
              <w:lastRenderedPageBreak/>
              <w:t xml:space="preserve">В тази връзка ще се прилагат следните индикатори. </w:t>
            </w:r>
          </w:p>
          <w:p w14:paraId="04D60D2A" w14:textId="77777777" w:rsidR="002B4B08" w:rsidRDefault="002B4B08" w:rsidP="002B4B08">
            <w:pPr>
              <w:pStyle w:val="ListParagraph"/>
              <w:numPr>
                <w:ilvl w:val="0"/>
                <w:numId w:val="1"/>
              </w:numPr>
              <w:spacing w:before="60" w:after="60"/>
              <w:ind w:left="314" w:hanging="314"/>
            </w:pPr>
            <w:r>
              <w:t>Брой събития, включително онлайн (събития за откриване/заключителни събития, информационни дни, обучения, заседания на Комитета за наблюдение и т.н. – 15 (цел 2029)</w:t>
            </w:r>
          </w:p>
          <w:p w14:paraId="22C3C872" w14:textId="77777777" w:rsidR="002B4B08" w:rsidRDefault="002B4B08" w:rsidP="002B4B08">
            <w:pPr>
              <w:pStyle w:val="ListParagraph"/>
              <w:numPr>
                <w:ilvl w:val="0"/>
                <w:numId w:val="1"/>
              </w:numPr>
              <w:spacing w:before="60" w:after="60"/>
              <w:ind w:left="314" w:hanging="314"/>
            </w:pPr>
            <w:r>
              <w:t>Брой присъстващи (присъствено и в рамките на онлайн събитията) – 300 (цел 2029)</w:t>
            </w:r>
          </w:p>
          <w:p w14:paraId="4BED7C21" w14:textId="77777777" w:rsidR="002B4B08" w:rsidRDefault="002B4B08" w:rsidP="002B4B08">
            <w:pPr>
              <w:pStyle w:val="ListParagraph"/>
              <w:numPr>
                <w:ilvl w:val="0"/>
                <w:numId w:val="1"/>
              </w:numPr>
              <w:spacing w:before="60" w:after="60"/>
              <w:ind w:left="314" w:hanging="314"/>
            </w:pPr>
            <w:r>
              <w:t>Брой публикации на уебсайта и в социалните мрежи – 240 (цел 2029)</w:t>
            </w:r>
          </w:p>
          <w:p w14:paraId="70BFD919" w14:textId="77777777" w:rsidR="002B4B08" w:rsidRDefault="002B4B08" w:rsidP="002B4B08">
            <w:pPr>
              <w:pStyle w:val="ListParagraph"/>
              <w:numPr>
                <w:ilvl w:val="0"/>
                <w:numId w:val="1"/>
              </w:numPr>
              <w:spacing w:before="60" w:after="60"/>
              <w:ind w:left="314" w:hanging="314"/>
            </w:pPr>
            <w:r>
              <w:t>Брой посетители/читатели/последователи в социалните мрежи – 150 (цел 2029)</w:t>
            </w:r>
          </w:p>
          <w:p w14:paraId="0AF88F7E" w14:textId="77777777" w:rsidR="002B4B08" w:rsidRDefault="002B4B08" w:rsidP="002B4B08">
            <w:pPr>
              <w:pStyle w:val="ListParagraph"/>
              <w:numPr>
                <w:ilvl w:val="0"/>
                <w:numId w:val="1"/>
              </w:numPr>
              <w:spacing w:before="60" w:after="60"/>
              <w:ind w:left="314" w:hanging="314"/>
            </w:pPr>
            <w:r>
              <w:t>Повишаване на нивото на осведоменост на целевата аудитория относно политиките на ЕС и фондовете/програмите като резултат от събития/публикации (процент) – 25 % (цел 2029).</w:t>
            </w:r>
          </w:p>
          <w:p w14:paraId="7CA58E8A" w14:textId="77777777" w:rsidR="00A77B3E" w:rsidRPr="002B4B08" w:rsidRDefault="002B4B08" w:rsidP="002B4B08">
            <w:pPr>
              <w:spacing w:before="100"/>
              <w:rPr>
                <w:color w:val="000000"/>
                <w:lang w:val="bg-BG"/>
              </w:rPr>
            </w:pPr>
            <w:r w:rsidRPr="002B4B08">
              <w:rPr>
                <w:lang w:val="bg-BG"/>
              </w:rPr>
              <w:t>В рамките на техническата помощ се предвижда 125</w:t>
            </w:r>
            <w:r>
              <w:t> </w:t>
            </w:r>
            <w:r w:rsidRPr="002B4B08">
              <w:rPr>
                <w:lang w:val="bg-BG"/>
              </w:rPr>
              <w:t>877 евро за мерки за комуникация и видимост. Такива мерки ще бъдат включени и в рамките на проектите, които ще се изпълняват по програмата по ФВС 2021-2027.</w:t>
            </w:r>
          </w:p>
        </w:tc>
      </w:tr>
    </w:tbl>
    <w:p w14:paraId="003E8618" w14:textId="77777777" w:rsidR="00A77B3E" w:rsidRPr="00A71A79" w:rsidRDefault="00E62050">
      <w:pPr>
        <w:pStyle w:val="Heading1"/>
        <w:spacing w:before="100" w:after="0"/>
        <w:rPr>
          <w:rFonts w:ascii="Times New Roman" w:hAnsi="Times New Roman" w:cs="Times New Roman"/>
          <w:b w:val="0"/>
          <w:color w:val="000000"/>
          <w:sz w:val="24"/>
          <w:lang w:val="bg-BG"/>
        </w:rPr>
      </w:pPr>
      <w:r w:rsidRPr="002B4B08">
        <w:rPr>
          <w:rFonts w:ascii="Times New Roman" w:hAnsi="Times New Roman" w:cs="Times New Roman"/>
          <w:b w:val="0"/>
          <w:color w:val="000000"/>
          <w:sz w:val="24"/>
          <w:lang w:val="bg-BG"/>
        </w:rPr>
        <w:lastRenderedPageBreak/>
        <w:br w:type="page"/>
      </w:r>
      <w:bookmarkStart w:id="43" w:name="_Toc129599315"/>
      <w:r w:rsidRPr="00A71A79">
        <w:rPr>
          <w:rFonts w:ascii="Times New Roman" w:hAnsi="Times New Roman" w:cs="Times New Roman"/>
          <w:b w:val="0"/>
          <w:color w:val="000000"/>
          <w:sz w:val="24"/>
          <w:lang w:val="bg-BG"/>
        </w:rPr>
        <w:lastRenderedPageBreak/>
        <w:t xml:space="preserve">8. </w:t>
      </w:r>
      <w:r w:rsidR="00A71A79" w:rsidRPr="00A71A79">
        <w:rPr>
          <w:rFonts w:ascii="Times New Roman" w:hAnsi="Times New Roman" w:cs="Times New Roman"/>
          <w:b w:val="0"/>
          <w:color w:val="000000"/>
          <w:sz w:val="24"/>
          <w:lang w:val="bg-BG"/>
        </w:rPr>
        <w:t>Използване на единични разходи, еднократни суми или единни ставки и финансиране, което не е свързано с разходи</w:t>
      </w:r>
      <w:bookmarkEnd w:id="43"/>
    </w:p>
    <w:p w14:paraId="79AAF5B2" w14:textId="77777777" w:rsidR="00A77B3E" w:rsidRPr="00A71A79" w:rsidRDefault="00A71A79">
      <w:pPr>
        <w:spacing w:before="100"/>
        <w:rPr>
          <w:color w:val="000000"/>
          <w:sz w:val="16"/>
          <w:lang w:val="bg-BG"/>
        </w:rPr>
      </w:pPr>
      <w:r w:rsidRPr="00A71A79">
        <w:rPr>
          <w:color w:val="000000"/>
          <w:lang w:val="bg-BG"/>
        </w:rPr>
        <w:t>Основание: чл. 94 и чл. 95 от РОР</w:t>
      </w:r>
    </w:p>
    <w:p w14:paraId="2EA0A999" w14:textId="77777777" w:rsidR="00A77B3E" w:rsidRPr="00A71A79" w:rsidRDefault="00A77B3E">
      <w:pPr>
        <w:spacing w:before="100"/>
        <w:rPr>
          <w:color w:val="000000"/>
          <w:sz w:val="1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6"/>
        <w:gridCol w:w="350"/>
        <w:gridCol w:w="354"/>
      </w:tblGrid>
      <w:tr w:rsidR="002F6D49" w14:paraId="51A2C5D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972514" w14:textId="77777777" w:rsidR="00A77B3E" w:rsidRPr="00A71A79" w:rsidRDefault="00A71A79">
            <w:pPr>
              <w:spacing w:before="100"/>
              <w:jc w:val="center"/>
              <w:rPr>
                <w:color w:val="000000"/>
                <w:sz w:val="20"/>
                <w:lang w:val="bg-BG"/>
              </w:rPr>
            </w:pPr>
            <w:r w:rsidRPr="00A71A79">
              <w:rPr>
                <w:color w:val="000000"/>
                <w:sz w:val="20"/>
                <w:lang w:val="bg-BG"/>
              </w:rPr>
              <w:t>Планирано използване на членове 94 и 95 от РОР</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764995" w14:textId="77777777" w:rsidR="00A77B3E" w:rsidRPr="00A71A79" w:rsidRDefault="00A71A79">
            <w:pPr>
              <w:spacing w:before="100"/>
              <w:jc w:val="center"/>
              <w:rPr>
                <w:color w:val="000000"/>
                <w:sz w:val="20"/>
                <w:lang w:val="bg-BG"/>
              </w:rPr>
            </w:pPr>
            <w:r>
              <w:rPr>
                <w:color w:val="000000"/>
                <w:sz w:val="20"/>
                <w:lang w:val="bg-BG"/>
              </w:rPr>
              <w:t>Да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F1A062" w14:textId="77777777" w:rsidR="00A77B3E" w:rsidRPr="00A71A79" w:rsidRDefault="00A71A79">
            <w:pPr>
              <w:spacing w:before="100"/>
              <w:jc w:val="center"/>
              <w:rPr>
                <w:color w:val="000000"/>
                <w:sz w:val="20"/>
                <w:lang w:val="bg-BG"/>
              </w:rPr>
            </w:pPr>
            <w:r>
              <w:rPr>
                <w:color w:val="000000"/>
                <w:sz w:val="20"/>
                <w:lang w:val="bg-BG"/>
              </w:rPr>
              <w:t>Не</w:t>
            </w:r>
          </w:p>
        </w:tc>
      </w:tr>
      <w:tr w:rsidR="002F6D49" w14:paraId="0DAA53F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8C94DB" w14:textId="77777777" w:rsidR="00A77B3E" w:rsidRDefault="00A71A79">
            <w:pPr>
              <w:spacing w:before="100"/>
              <w:rPr>
                <w:color w:val="000000"/>
                <w:sz w:val="20"/>
              </w:rPr>
            </w:pPr>
            <w:r w:rsidRPr="00A71A79">
              <w:rPr>
                <w:color w:val="000000"/>
                <w:sz w:val="20"/>
              </w:rPr>
              <w:t>От приемането си програмата ще използва възстановяване на финансовото участие на Съюза на основата на единичните разходи, еднократните суми и единните ставки по приоритета съгласно член 94 от РОР</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3787E6" w14:textId="77777777" w:rsidR="00A77B3E" w:rsidRDefault="00E62050">
            <w:pPr>
              <w:spacing w:before="100"/>
              <w:rPr>
                <w:color w:val="000000"/>
                <w:sz w:val="20"/>
              </w:rPr>
            </w:pPr>
            <w:r>
              <w:rPr>
                <w:color w:val="000000"/>
                <w:sz w:val="20"/>
              </w:rPr>
              <w:fldChar w:fldCharType="begin">
                <w:ffData>
                  <w:name w:val=""/>
                  <w:enabled/>
                  <w:calcOnExit w:val="0"/>
                  <w:checkBox>
                    <w:size w:val="20"/>
                    <w:default w:val="0"/>
                    <w:checked w:val="0"/>
                  </w:checkBox>
                </w:ffData>
              </w:fldChar>
            </w:r>
            <w:r>
              <w:rPr>
                <w:color w:val="000000"/>
                <w:sz w:val="20"/>
              </w:rPr>
              <w:instrText xml:space="preserve"> FORMCHECKBOX </w:instrText>
            </w:r>
            <w:r w:rsidR="00DA6815">
              <w:rPr>
                <w:color w:val="000000"/>
                <w:sz w:val="20"/>
              </w:rPr>
            </w:r>
            <w:r w:rsidR="00DA6815">
              <w:rPr>
                <w:color w:val="000000"/>
                <w:sz w:val="20"/>
              </w:rPr>
              <w:fldChar w:fldCharType="separate"/>
            </w:r>
            <w:r>
              <w:rPr>
                <w:color w:val="000000"/>
                <w:sz w:val="20"/>
              </w:rPr>
              <w:fldChar w:fldCharType="end"/>
            </w:r>
            <w:r>
              <w:rPr>
                <w:color w:val="000000"/>
                <w:sz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656396" w14:textId="77777777" w:rsidR="00A77B3E" w:rsidRDefault="00E62050">
            <w:pPr>
              <w:spacing w:before="100"/>
              <w:rPr>
                <w:color w:val="000000"/>
                <w:sz w:val="20"/>
              </w:rPr>
            </w:pPr>
            <w:r>
              <w:rPr>
                <w:color w:val="000000"/>
                <w:sz w:val="20"/>
              </w:rPr>
              <w:fldChar w:fldCharType="begin">
                <w:ffData>
                  <w:name w:val=""/>
                  <w:enabled/>
                  <w:calcOnExit w:val="0"/>
                  <w:checkBox>
                    <w:size w:val="20"/>
                    <w:default w:val="1"/>
                    <w:checked/>
                  </w:checkBox>
                </w:ffData>
              </w:fldChar>
            </w:r>
            <w:r>
              <w:rPr>
                <w:color w:val="000000"/>
                <w:sz w:val="20"/>
              </w:rPr>
              <w:instrText xml:space="preserve"> FORMCHECKBOX </w:instrText>
            </w:r>
            <w:r w:rsidR="00DA6815">
              <w:rPr>
                <w:color w:val="000000"/>
                <w:sz w:val="20"/>
              </w:rPr>
            </w:r>
            <w:r w:rsidR="00DA6815">
              <w:rPr>
                <w:color w:val="000000"/>
                <w:sz w:val="20"/>
              </w:rPr>
              <w:fldChar w:fldCharType="separate"/>
            </w:r>
            <w:r>
              <w:rPr>
                <w:color w:val="000000"/>
                <w:sz w:val="20"/>
              </w:rPr>
              <w:fldChar w:fldCharType="end"/>
            </w:r>
            <w:r>
              <w:rPr>
                <w:color w:val="000000"/>
                <w:sz w:val="20"/>
              </w:rPr>
              <w:t xml:space="preserve"> </w:t>
            </w:r>
          </w:p>
        </w:tc>
      </w:tr>
      <w:tr w:rsidR="002F6D49" w14:paraId="540BC18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635EAD" w14:textId="77777777" w:rsidR="00A77B3E" w:rsidRDefault="00A71A79">
            <w:pPr>
              <w:spacing w:before="100"/>
              <w:rPr>
                <w:color w:val="000000"/>
                <w:sz w:val="20"/>
              </w:rPr>
            </w:pPr>
            <w:r w:rsidRPr="00A71A79">
              <w:rPr>
                <w:color w:val="000000"/>
                <w:sz w:val="20"/>
              </w:rPr>
              <w:t>От приемането си програмата ще използва възстановяване на финансовото участие на Съюза на основата на финансиране, което не е свързано с разходите, съгласно член 95 от РОР</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34050A" w14:textId="77777777" w:rsidR="00A77B3E" w:rsidRDefault="00E62050">
            <w:pPr>
              <w:spacing w:before="100"/>
              <w:rPr>
                <w:color w:val="000000"/>
                <w:sz w:val="20"/>
              </w:rPr>
            </w:pPr>
            <w:r>
              <w:rPr>
                <w:color w:val="000000"/>
                <w:sz w:val="20"/>
              </w:rPr>
              <w:fldChar w:fldCharType="begin">
                <w:ffData>
                  <w:name w:val=""/>
                  <w:enabled/>
                  <w:calcOnExit w:val="0"/>
                  <w:checkBox>
                    <w:size w:val="20"/>
                    <w:default w:val="0"/>
                    <w:checked w:val="0"/>
                  </w:checkBox>
                </w:ffData>
              </w:fldChar>
            </w:r>
            <w:r>
              <w:rPr>
                <w:color w:val="000000"/>
                <w:sz w:val="20"/>
              </w:rPr>
              <w:instrText xml:space="preserve"> FORMCHECKBOX </w:instrText>
            </w:r>
            <w:r w:rsidR="00DA6815">
              <w:rPr>
                <w:color w:val="000000"/>
                <w:sz w:val="20"/>
              </w:rPr>
            </w:r>
            <w:r w:rsidR="00DA6815">
              <w:rPr>
                <w:color w:val="000000"/>
                <w:sz w:val="20"/>
              </w:rPr>
              <w:fldChar w:fldCharType="separate"/>
            </w:r>
            <w:r>
              <w:rPr>
                <w:color w:val="000000"/>
                <w:sz w:val="20"/>
              </w:rPr>
              <w:fldChar w:fldCharType="end"/>
            </w:r>
            <w:r>
              <w:rPr>
                <w:color w:val="000000"/>
                <w:sz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B22394" w14:textId="77777777" w:rsidR="00A77B3E" w:rsidRDefault="00E62050">
            <w:pPr>
              <w:spacing w:before="100"/>
              <w:rPr>
                <w:color w:val="000000"/>
                <w:sz w:val="20"/>
              </w:rPr>
            </w:pPr>
            <w:r>
              <w:rPr>
                <w:color w:val="000000"/>
                <w:sz w:val="20"/>
              </w:rPr>
              <w:fldChar w:fldCharType="begin">
                <w:ffData>
                  <w:name w:val=""/>
                  <w:enabled/>
                  <w:calcOnExit w:val="0"/>
                  <w:checkBox>
                    <w:size w:val="20"/>
                    <w:default w:val="1"/>
                    <w:checked/>
                  </w:checkBox>
                </w:ffData>
              </w:fldChar>
            </w:r>
            <w:r>
              <w:rPr>
                <w:color w:val="000000"/>
                <w:sz w:val="20"/>
              </w:rPr>
              <w:instrText xml:space="preserve"> FORMCHECKBOX </w:instrText>
            </w:r>
            <w:r w:rsidR="00DA6815">
              <w:rPr>
                <w:color w:val="000000"/>
                <w:sz w:val="20"/>
              </w:rPr>
            </w:r>
            <w:r w:rsidR="00DA6815">
              <w:rPr>
                <w:color w:val="000000"/>
                <w:sz w:val="20"/>
              </w:rPr>
              <w:fldChar w:fldCharType="separate"/>
            </w:r>
            <w:r>
              <w:rPr>
                <w:color w:val="000000"/>
                <w:sz w:val="20"/>
              </w:rPr>
              <w:fldChar w:fldCharType="end"/>
            </w:r>
            <w:r>
              <w:rPr>
                <w:color w:val="000000"/>
                <w:sz w:val="20"/>
              </w:rPr>
              <w:t xml:space="preserve"> </w:t>
            </w:r>
          </w:p>
        </w:tc>
      </w:tr>
    </w:tbl>
    <w:p w14:paraId="214AB143" w14:textId="77777777" w:rsidR="00A77B3E" w:rsidRDefault="00A77B3E">
      <w:pPr>
        <w:spacing w:before="100"/>
        <w:jc w:val="center"/>
        <w:rPr>
          <w:color w:val="000000"/>
          <w:sz w:val="20"/>
        </w:rPr>
        <w:sectPr w:rsidR="00A77B3E">
          <w:headerReference w:type="even" r:id="rId82"/>
          <w:headerReference w:type="default" r:id="rId83"/>
          <w:footerReference w:type="even" r:id="rId84"/>
          <w:footerReference w:type="default" r:id="rId85"/>
          <w:headerReference w:type="first" r:id="rId86"/>
          <w:footerReference w:type="first" r:id="rId87"/>
          <w:pgSz w:w="11906" w:h="16838"/>
          <w:pgMar w:top="720" w:right="936" w:bottom="864" w:left="720" w:header="0" w:footer="72" w:gutter="0"/>
          <w:cols w:space="720"/>
          <w:noEndnote/>
          <w:docGrid w:linePitch="360"/>
        </w:sectPr>
      </w:pPr>
    </w:p>
    <w:p w14:paraId="497F2231" w14:textId="77777777" w:rsidR="00A77B3E" w:rsidRDefault="00651AAF">
      <w:pPr>
        <w:pStyle w:val="Heading1"/>
        <w:spacing w:before="100" w:after="0"/>
        <w:rPr>
          <w:rFonts w:ascii="Times New Roman" w:hAnsi="Times New Roman" w:cs="Times New Roman"/>
          <w:b w:val="0"/>
          <w:color w:val="000000"/>
          <w:sz w:val="24"/>
        </w:rPr>
      </w:pPr>
      <w:bookmarkStart w:id="44" w:name="_Toc129599316"/>
      <w:r w:rsidRPr="00651AAF">
        <w:rPr>
          <w:rFonts w:ascii="Times New Roman" w:hAnsi="Times New Roman" w:cs="Times New Roman"/>
          <w:b w:val="0"/>
          <w:color w:val="000000"/>
          <w:sz w:val="24"/>
          <w:lang w:val="bg-BG"/>
        </w:rPr>
        <w:lastRenderedPageBreak/>
        <w:t xml:space="preserve">Допълнение </w:t>
      </w:r>
      <w:r w:rsidR="00E62050">
        <w:rPr>
          <w:rFonts w:ascii="Times New Roman" w:hAnsi="Times New Roman" w:cs="Times New Roman"/>
          <w:b w:val="0"/>
          <w:color w:val="000000"/>
          <w:sz w:val="24"/>
        </w:rPr>
        <w:t xml:space="preserve">1: </w:t>
      </w:r>
      <w:r w:rsidR="00E47BDF" w:rsidRPr="00E47BDF">
        <w:rPr>
          <w:rFonts w:ascii="Times New Roman" w:hAnsi="Times New Roman" w:cs="Times New Roman"/>
          <w:b w:val="0"/>
          <w:color w:val="000000"/>
          <w:sz w:val="24"/>
          <w:lang w:val="bg-BG"/>
        </w:rPr>
        <w:t>Финансово участие на Съюза на основата на единични разходи, еднократни суми и единни ставки</w:t>
      </w:r>
      <w:bookmarkEnd w:id="44"/>
    </w:p>
    <w:p w14:paraId="2D4F9D40" w14:textId="77777777" w:rsidR="00A77B3E" w:rsidRDefault="00E62050">
      <w:pPr>
        <w:pStyle w:val="Heading2"/>
        <w:spacing w:before="100" w:after="0"/>
        <w:rPr>
          <w:rFonts w:ascii="Times New Roman" w:hAnsi="Times New Roman" w:cs="Times New Roman"/>
          <w:b w:val="0"/>
          <w:i w:val="0"/>
          <w:color w:val="000000"/>
          <w:sz w:val="24"/>
        </w:rPr>
      </w:pPr>
      <w:bookmarkStart w:id="45" w:name="_Toc129599317"/>
      <w:r>
        <w:rPr>
          <w:rFonts w:ascii="Times New Roman" w:hAnsi="Times New Roman" w:cs="Times New Roman"/>
          <w:b w:val="0"/>
          <w:i w:val="0"/>
          <w:color w:val="000000"/>
          <w:sz w:val="24"/>
        </w:rPr>
        <w:t xml:space="preserve">A. </w:t>
      </w:r>
      <w:r w:rsidR="00220D10">
        <w:rPr>
          <w:rFonts w:ascii="Times New Roman" w:hAnsi="Times New Roman" w:cs="Times New Roman"/>
          <w:b w:val="0"/>
          <w:i w:val="0"/>
          <w:color w:val="000000"/>
          <w:sz w:val="24"/>
          <w:lang w:val="bg-BG"/>
        </w:rPr>
        <w:t>Обобщение</w:t>
      </w:r>
      <w:r w:rsidR="00220D10" w:rsidRPr="00220D10">
        <w:rPr>
          <w:rFonts w:ascii="Times New Roman" w:hAnsi="Times New Roman" w:cs="Times New Roman"/>
          <w:b w:val="0"/>
          <w:i w:val="0"/>
          <w:color w:val="000000"/>
          <w:sz w:val="24"/>
        </w:rPr>
        <w:t xml:space="preserve"> на основните елементи</w:t>
      </w:r>
      <w:bookmarkEnd w:id="45"/>
    </w:p>
    <w:p w14:paraId="625065DB"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498"/>
        <w:gridCol w:w="1297"/>
        <w:gridCol w:w="1996"/>
        <w:gridCol w:w="1297"/>
        <w:gridCol w:w="1996"/>
        <w:gridCol w:w="1498"/>
        <w:gridCol w:w="1199"/>
        <w:gridCol w:w="1497"/>
      </w:tblGrid>
      <w:tr w:rsidR="002F6D49" w14:paraId="32B27759" w14:textId="77777777">
        <w:trPr>
          <w:tblHeader/>
        </w:trPr>
        <w:tc>
          <w:tcPr>
            <w:tcW w:w="29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6078F2" w14:textId="77777777" w:rsidR="00A77B3E" w:rsidRDefault="00220D10">
            <w:pPr>
              <w:spacing w:before="100"/>
              <w:jc w:val="center"/>
              <w:rPr>
                <w:color w:val="000000"/>
                <w:sz w:val="12"/>
              </w:rPr>
            </w:pPr>
            <w:r>
              <w:rPr>
                <w:color w:val="000000"/>
                <w:sz w:val="12"/>
                <w:lang w:val="bg-BG"/>
              </w:rPr>
              <w:t>Специфична цел</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0CB574" w14:textId="77777777" w:rsidR="00A77B3E" w:rsidRDefault="00220D10" w:rsidP="00C23BC6">
            <w:pPr>
              <w:spacing w:before="100"/>
              <w:jc w:val="center"/>
              <w:rPr>
                <w:color w:val="000000"/>
                <w:sz w:val="12"/>
              </w:rPr>
            </w:pPr>
            <w:r w:rsidRPr="00220D10">
              <w:rPr>
                <w:color w:val="000000"/>
                <w:sz w:val="12"/>
              </w:rPr>
              <w:t>Прогнозен дял от</w:t>
            </w:r>
            <w:r>
              <w:rPr>
                <w:color w:val="000000"/>
                <w:sz w:val="12"/>
                <w:lang w:val="bg-BG"/>
              </w:rPr>
              <w:t xml:space="preserve"> </w:t>
            </w:r>
            <w:r w:rsidRPr="00220D10">
              <w:rPr>
                <w:color w:val="000000"/>
                <w:sz w:val="12"/>
              </w:rPr>
              <w:t>общия размер на</w:t>
            </w:r>
            <w:r>
              <w:rPr>
                <w:color w:val="000000"/>
                <w:sz w:val="12"/>
                <w:lang w:val="bg-BG"/>
              </w:rPr>
              <w:t xml:space="preserve"> </w:t>
            </w:r>
            <w:r w:rsidRPr="00220D10">
              <w:rPr>
                <w:color w:val="000000"/>
                <w:sz w:val="12"/>
              </w:rPr>
              <w:t>разпределените</w:t>
            </w:r>
            <w:r>
              <w:rPr>
                <w:color w:val="000000"/>
                <w:sz w:val="12"/>
                <w:lang w:val="bg-BG"/>
              </w:rPr>
              <w:t xml:space="preserve"> </w:t>
            </w:r>
            <w:r w:rsidRPr="00220D10">
              <w:rPr>
                <w:color w:val="000000"/>
                <w:sz w:val="12"/>
              </w:rPr>
              <w:t>финансови средства в</w:t>
            </w:r>
            <w:r>
              <w:rPr>
                <w:color w:val="000000"/>
                <w:sz w:val="12"/>
                <w:lang w:val="bg-BG"/>
              </w:rPr>
              <w:t xml:space="preserve"> </w:t>
            </w:r>
            <w:r w:rsidRPr="00220D10">
              <w:rPr>
                <w:color w:val="000000"/>
                <w:sz w:val="12"/>
              </w:rPr>
              <w:t>рамките на</w:t>
            </w:r>
            <w:r>
              <w:rPr>
                <w:color w:val="000000"/>
                <w:sz w:val="12"/>
                <w:lang w:val="bg-BG"/>
              </w:rPr>
              <w:t xml:space="preserve"> </w:t>
            </w:r>
            <w:r w:rsidRPr="00220D10">
              <w:rPr>
                <w:color w:val="000000"/>
                <w:sz w:val="12"/>
              </w:rPr>
              <w:t>специфичната цел, за</w:t>
            </w:r>
            <w:r>
              <w:rPr>
                <w:color w:val="000000"/>
                <w:sz w:val="12"/>
                <w:lang w:val="bg-BG"/>
              </w:rPr>
              <w:t xml:space="preserve"> </w:t>
            </w:r>
            <w:r w:rsidRPr="00220D10">
              <w:rPr>
                <w:color w:val="000000"/>
                <w:sz w:val="12"/>
              </w:rPr>
              <w:t>която ще се прилагат</w:t>
            </w:r>
            <w:r>
              <w:rPr>
                <w:color w:val="000000"/>
                <w:sz w:val="12"/>
                <w:lang w:val="bg-BG"/>
              </w:rPr>
              <w:t xml:space="preserve"> </w:t>
            </w:r>
            <w:r w:rsidR="00C23BC6" w:rsidRPr="00C23BC6">
              <w:rPr>
                <w:color w:val="000000"/>
                <w:sz w:val="12"/>
              </w:rPr>
              <w:t>опростените варианти за</w:t>
            </w:r>
            <w:r w:rsidR="00C23BC6">
              <w:rPr>
                <w:color w:val="000000"/>
                <w:sz w:val="12"/>
                <w:lang w:val="bg-BG"/>
              </w:rPr>
              <w:t xml:space="preserve"> </w:t>
            </w:r>
            <w:r w:rsidR="00C23BC6" w:rsidRPr="00C23BC6">
              <w:rPr>
                <w:color w:val="000000"/>
                <w:sz w:val="12"/>
              </w:rPr>
              <w:t>разходите (ОВР)</w:t>
            </w:r>
            <w:r w:rsidRPr="00220D10">
              <w:rPr>
                <w:color w:val="000000"/>
                <w:sz w:val="12"/>
              </w:rPr>
              <w:t>, в %</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99FF4D" w14:textId="77777777" w:rsidR="00A77B3E" w:rsidRDefault="00C23BC6" w:rsidP="00C23BC6">
            <w:pPr>
              <w:spacing w:before="100"/>
              <w:jc w:val="center"/>
              <w:rPr>
                <w:color w:val="000000"/>
                <w:sz w:val="12"/>
              </w:rPr>
            </w:pPr>
            <w:r w:rsidRPr="00C23BC6">
              <w:rPr>
                <w:color w:val="000000"/>
                <w:sz w:val="12"/>
              </w:rPr>
              <w:t>Вид(ове)</w:t>
            </w:r>
            <w:r>
              <w:rPr>
                <w:color w:val="000000"/>
                <w:sz w:val="12"/>
                <w:lang w:val="bg-BG"/>
              </w:rPr>
              <w:t xml:space="preserve"> </w:t>
            </w:r>
            <w:r w:rsidRPr="00C23BC6">
              <w:rPr>
                <w:color w:val="000000"/>
                <w:sz w:val="12"/>
              </w:rPr>
              <w:t>обхваната(и)</w:t>
            </w:r>
            <w:r>
              <w:rPr>
                <w:color w:val="000000"/>
                <w:sz w:val="12"/>
                <w:lang w:val="bg-BG"/>
              </w:rPr>
              <w:t xml:space="preserve"> </w:t>
            </w:r>
            <w:r w:rsidRPr="00C23BC6">
              <w:rPr>
                <w:color w:val="000000"/>
                <w:sz w:val="12"/>
              </w:rPr>
              <w:t>операция(и)</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E416D9" w14:textId="77777777" w:rsidR="00A77B3E" w:rsidRDefault="00C23BC6" w:rsidP="00C23BC6">
            <w:pPr>
              <w:spacing w:before="100"/>
              <w:jc w:val="center"/>
              <w:rPr>
                <w:color w:val="000000"/>
                <w:sz w:val="12"/>
              </w:rPr>
            </w:pPr>
            <w:r w:rsidRPr="00C23BC6">
              <w:rPr>
                <w:color w:val="000000"/>
                <w:sz w:val="12"/>
              </w:rPr>
              <w:t>Показател, който</w:t>
            </w:r>
            <w:r>
              <w:rPr>
                <w:color w:val="000000"/>
                <w:sz w:val="12"/>
                <w:lang w:val="bg-BG"/>
              </w:rPr>
              <w:t xml:space="preserve"> </w:t>
            </w:r>
            <w:r w:rsidRPr="00C23BC6">
              <w:rPr>
                <w:color w:val="000000"/>
                <w:sz w:val="12"/>
              </w:rPr>
              <w:t>води до</w:t>
            </w:r>
            <w:r>
              <w:rPr>
                <w:color w:val="000000"/>
                <w:sz w:val="12"/>
                <w:lang w:val="bg-BG"/>
              </w:rPr>
              <w:t xml:space="preserve"> </w:t>
            </w:r>
            <w:r w:rsidRPr="00C23BC6">
              <w:rPr>
                <w:color w:val="000000"/>
                <w:sz w:val="12"/>
              </w:rPr>
              <w:t>възстановяване на</w:t>
            </w:r>
            <w:r>
              <w:rPr>
                <w:color w:val="000000"/>
                <w:sz w:val="12"/>
                <w:lang w:val="bg-BG"/>
              </w:rPr>
              <w:t xml:space="preserve"> </w:t>
            </w:r>
            <w:r w:rsidRPr="00C23BC6">
              <w:rPr>
                <w:color w:val="000000"/>
                <w:sz w:val="12"/>
              </w:rPr>
              <w:t>разходит</w:t>
            </w:r>
            <w:r>
              <w:rPr>
                <w:color w:val="000000"/>
                <w:sz w:val="12"/>
                <w:lang w:val="bg-BG"/>
              </w:rPr>
              <w:t>е</w:t>
            </w:r>
            <w:r w:rsidRPr="00C23BC6">
              <w:rPr>
                <w:color w:val="000000"/>
                <w:sz w:val="12"/>
              </w:rPr>
              <w:t xml:space="preserve"> </w:t>
            </w:r>
            <w:r w:rsidR="00E62050">
              <w:rPr>
                <w:color w:val="000000"/>
                <w:sz w:val="12"/>
              </w:rPr>
              <w:t>(2)</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4D4F8E" w14:textId="77777777" w:rsidR="00A77B3E" w:rsidRDefault="00C23BC6" w:rsidP="00C23BC6">
            <w:pPr>
              <w:spacing w:before="100"/>
              <w:jc w:val="center"/>
              <w:rPr>
                <w:color w:val="000000"/>
                <w:sz w:val="12"/>
              </w:rPr>
            </w:pPr>
            <w:r w:rsidRPr="00C23BC6">
              <w:rPr>
                <w:color w:val="000000"/>
                <w:sz w:val="12"/>
              </w:rPr>
              <w:t>Мерна единица за</w:t>
            </w:r>
            <w:r>
              <w:rPr>
                <w:color w:val="000000"/>
                <w:sz w:val="12"/>
                <w:lang w:val="bg-BG"/>
              </w:rPr>
              <w:t xml:space="preserve"> </w:t>
            </w:r>
            <w:r w:rsidRPr="00C23BC6">
              <w:rPr>
                <w:color w:val="000000"/>
                <w:sz w:val="12"/>
              </w:rPr>
              <w:t>показателя, който</w:t>
            </w:r>
            <w:r>
              <w:rPr>
                <w:color w:val="000000"/>
                <w:sz w:val="12"/>
                <w:lang w:val="bg-BG"/>
              </w:rPr>
              <w:t xml:space="preserve"> </w:t>
            </w:r>
            <w:r w:rsidRPr="00C23BC6">
              <w:rPr>
                <w:color w:val="000000"/>
                <w:sz w:val="12"/>
              </w:rPr>
              <w:t>води до</w:t>
            </w:r>
            <w:r>
              <w:rPr>
                <w:color w:val="000000"/>
                <w:sz w:val="12"/>
                <w:lang w:val="bg-BG"/>
              </w:rPr>
              <w:t xml:space="preserve"> </w:t>
            </w:r>
            <w:r w:rsidRPr="00C23BC6">
              <w:rPr>
                <w:color w:val="000000"/>
                <w:sz w:val="12"/>
              </w:rPr>
              <w:t>възстановяване на</w:t>
            </w:r>
            <w:r>
              <w:rPr>
                <w:color w:val="000000"/>
                <w:sz w:val="12"/>
                <w:lang w:val="bg-BG"/>
              </w:rPr>
              <w:t xml:space="preserve"> </w:t>
            </w:r>
            <w:r w:rsidRPr="00C23BC6">
              <w:rPr>
                <w:color w:val="000000"/>
                <w:sz w:val="12"/>
              </w:rPr>
              <w:t>разходите</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F1FACA" w14:textId="77777777" w:rsidR="00A77B3E" w:rsidRDefault="00C23BC6" w:rsidP="00C23BC6">
            <w:pPr>
              <w:spacing w:before="100"/>
              <w:jc w:val="center"/>
              <w:rPr>
                <w:color w:val="000000"/>
                <w:sz w:val="12"/>
              </w:rPr>
            </w:pPr>
            <w:r w:rsidRPr="00C23BC6">
              <w:rPr>
                <w:color w:val="000000"/>
                <w:sz w:val="12"/>
              </w:rPr>
              <w:t>Вид ОВР</w:t>
            </w:r>
            <w:r>
              <w:rPr>
                <w:color w:val="000000"/>
                <w:sz w:val="12"/>
                <w:lang w:val="bg-BG"/>
              </w:rPr>
              <w:t xml:space="preserve"> </w:t>
            </w:r>
            <w:r w:rsidRPr="00C23BC6">
              <w:rPr>
                <w:color w:val="000000"/>
                <w:sz w:val="12"/>
              </w:rPr>
              <w:t>(стандартна</w:t>
            </w:r>
            <w:r>
              <w:rPr>
                <w:color w:val="000000"/>
                <w:sz w:val="12"/>
                <w:lang w:val="bg-BG"/>
              </w:rPr>
              <w:t xml:space="preserve"> </w:t>
            </w:r>
            <w:r w:rsidRPr="00C23BC6">
              <w:rPr>
                <w:color w:val="000000"/>
                <w:sz w:val="12"/>
              </w:rPr>
              <w:t>таблица на</w:t>
            </w:r>
            <w:r>
              <w:rPr>
                <w:color w:val="000000"/>
                <w:sz w:val="12"/>
                <w:lang w:val="bg-BG"/>
              </w:rPr>
              <w:t xml:space="preserve"> </w:t>
            </w:r>
            <w:r w:rsidRPr="00C23BC6">
              <w:rPr>
                <w:color w:val="000000"/>
                <w:sz w:val="12"/>
              </w:rPr>
              <w:t>единичните</w:t>
            </w:r>
            <w:r>
              <w:rPr>
                <w:color w:val="000000"/>
                <w:sz w:val="12"/>
                <w:lang w:val="bg-BG"/>
              </w:rPr>
              <w:t xml:space="preserve"> </w:t>
            </w:r>
            <w:r w:rsidRPr="00C23BC6">
              <w:rPr>
                <w:color w:val="000000"/>
                <w:sz w:val="12"/>
              </w:rPr>
              <w:t>разходи,</w:t>
            </w:r>
            <w:r>
              <w:rPr>
                <w:color w:val="000000"/>
                <w:sz w:val="12"/>
                <w:lang w:val="bg-BG"/>
              </w:rPr>
              <w:t xml:space="preserve"> </w:t>
            </w:r>
            <w:r w:rsidRPr="00C23BC6">
              <w:rPr>
                <w:color w:val="000000"/>
                <w:sz w:val="12"/>
              </w:rPr>
              <w:t>еднократните суми</w:t>
            </w:r>
            <w:r>
              <w:rPr>
                <w:color w:val="000000"/>
                <w:sz w:val="12"/>
                <w:lang w:val="bg-BG"/>
              </w:rPr>
              <w:t xml:space="preserve"> </w:t>
            </w:r>
            <w:r w:rsidRPr="00C23BC6">
              <w:rPr>
                <w:color w:val="000000"/>
                <w:sz w:val="12"/>
              </w:rPr>
              <w:t>или единните</w:t>
            </w:r>
            <w:r>
              <w:rPr>
                <w:color w:val="000000"/>
                <w:sz w:val="12"/>
                <w:lang w:val="bg-BG"/>
              </w:rPr>
              <w:t xml:space="preserve"> </w:t>
            </w:r>
            <w:r w:rsidRPr="00C23BC6">
              <w:rPr>
                <w:color w:val="000000"/>
                <w:sz w:val="12"/>
              </w:rPr>
              <w:t>ставки)</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2EE921" w14:textId="77777777" w:rsidR="00A77B3E" w:rsidRDefault="00C23BC6" w:rsidP="00C23BC6">
            <w:pPr>
              <w:spacing w:before="100"/>
              <w:jc w:val="center"/>
              <w:rPr>
                <w:color w:val="000000"/>
                <w:sz w:val="12"/>
              </w:rPr>
            </w:pPr>
            <w:r w:rsidRPr="00C23BC6">
              <w:rPr>
                <w:color w:val="000000"/>
                <w:sz w:val="12"/>
              </w:rPr>
              <w:t>Размер (в</w:t>
            </w:r>
            <w:r>
              <w:rPr>
                <w:color w:val="000000"/>
                <w:sz w:val="12"/>
                <w:lang w:val="bg-BG"/>
              </w:rPr>
              <w:t xml:space="preserve"> </w:t>
            </w:r>
            <w:r w:rsidRPr="00C23BC6">
              <w:rPr>
                <w:color w:val="000000"/>
                <w:sz w:val="12"/>
              </w:rPr>
              <w:t>EUR) или</w:t>
            </w:r>
            <w:r>
              <w:rPr>
                <w:color w:val="000000"/>
                <w:sz w:val="12"/>
                <w:lang w:val="bg-BG"/>
              </w:rPr>
              <w:t xml:space="preserve"> </w:t>
            </w:r>
            <w:r w:rsidRPr="00C23BC6">
              <w:rPr>
                <w:color w:val="000000"/>
                <w:sz w:val="12"/>
              </w:rPr>
              <w:t>процент (в</w:t>
            </w:r>
            <w:r>
              <w:rPr>
                <w:color w:val="000000"/>
                <w:sz w:val="12"/>
                <w:lang w:val="bg-BG"/>
              </w:rPr>
              <w:t xml:space="preserve"> </w:t>
            </w:r>
            <w:r w:rsidRPr="00C23BC6">
              <w:rPr>
                <w:color w:val="000000"/>
                <w:sz w:val="12"/>
              </w:rPr>
              <w:t>случай на</w:t>
            </w:r>
            <w:r>
              <w:rPr>
                <w:color w:val="000000"/>
                <w:sz w:val="12"/>
                <w:lang w:val="bg-BG"/>
              </w:rPr>
              <w:t xml:space="preserve"> </w:t>
            </w:r>
            <w:r w:rsidRPr="00C23BC6">
              <w:rPr>
                <w:color w:val="000000"/>
                <w:sz w:val="12"/>
              </w:rPr>
              <w:t>фиксирани</w:t>
            </w:r>
            <w:r>
              <w:rPr>
                <w:color w:val="000000"/>
                <w:sz w:val="12"/>
                <w:lang w:val="bg-BG"/>
              </w:rPr>
              <w:t xml:space="preserve"> </w:t>
            </w:r>
            <w:r w:rsidRPr="00C23BC6">
              <w:rPr>
                <w:color w:val="000000"/>
                <w:sz w:val="12"/>
              </w:rPr>
              <w:t>ставки) на</w:t>
            </w:r>
            <w:r>
              <w:rPr>
                <w:color w:val="000000"/>
                <w:sz w:val="12"/>
                <w:lang w:val="bg-BG"/>
              </w:rPr>
              <w:t xml:space="preserve"> </w:t>
            </w:r>
            <w:r w:rsidRPr="00C23BC6">
              <w:rPr>
                <w:color w:val="000000"/>
                <w:sz w:val="12"/>
              </w:rPr>
              <w:t>ОВР</w:t>
            </w:r>
          </w:p>
        </w:tc>
      </w:tr>
      <w:tr w:rsidR="002F6D49" w14:paraId="5D767EBB" w14:textId="77777777">
        <w:trPr>
          <w:tblHeader/>
        </w:trPr>
        <w:tc>
          <w:tcPr>
            <w:tcW w:w="29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995B71"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55A3D1" w14:textId="77777777" w:rsidR="00A77B3E" w:rsidRDefault="00A77B3E">
            <w:pPr>
              <w:spacing w:before="100"/>
              <w:jc w:val="center"/>
              <w:rPr>
                <w:color w:val="000000"/>
                <w:sz w:val="12"/>
              </w:rPr>
            </w:pP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7A5162" w14:textId="77777777" w:rsidR="00A77B3E" w:rsidRDefault="00C23BC6">
            <w:pPr>
              <w:spacing w:before="100"/>
              <w:jc w:val="center"/>
              <w:rPr>
                <w:color w:val="000000"/>
                <w:sz w:val="12"/>
              </w:rPr>
            </w:pPr>
            <w:r>
              <w:rPr>
                <w:color w:val="000000"/>
                <w:sz w:val="12"/>
                <w:lang w:val="bg-BG"/>
              </w:rPr>
              <w:t>Код</w:t>
            </w:r>
            <w:r w:rsidR="00E62050">
              <w:rPr>
                <w:color w:val="000000"/>
                <w:sz w:val="12"/>
              </w:rPr>
              <w:t>(1)</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90E8E0" w14:textId="77777777" w:rsidR="00A77B3E" w:rsidRDefault="00C23BC6">
            <w:pPr>
              <w:spacing w:before="100"/>
              <w:jc w:val="center"/>
              <w:rPr>
                <w:color w:val="000000"/>
                <w:sz w:val="12"/>
              </w:rPr>
            </w:pPr>
            <w:r w:rsidRPr="00C23BC6">
              <w:rPr>
                <w:color w:val="000000"/>
                <w:sz w:val="12"/>
              </w:rPr>
              <w:t>Описание</w:t>
            </w: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42D621" w14:textId="77777777" w:rsidR="00A77B3E" w:rsidRDefault="00C23BC6">
            <w:pPr>
              <w:spacing w:before="100"/>
              <w:jc w:val="center"/>
              <w:rPr>
                <w:color w:val="000000"/>
                <w:sz w:val="12"/>
              </w:rPr>
            </w:pPr>
            <w:r>
              <w:rPr>
                <w:color w:val="000000"/>
                <w:sz w:val="12"/>
                <w:lang w:val="bg-BG"/>
              </w:rPr>
              <w:t>Код</w:t>
            </w:r>
            <w:r>
              <w:rPr>
                <w:color w:val="000000"/>
                <w:sz w:val="12"/>
              </w:rPr>
              <w:t xml:space="preserve"> </w:t>
            </w:r>
            <w:r w:rsidR="00E62050">
              <w:rPr>
                <w:color w:val="000000"/>
                <w:sz w:val="12"/>
              </w:rPr>
              <w:t>(2)</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1D9A75" w14:textId="77777777" w:rsidR="00A77B3E" w:rsidRDefault="00C23BC6">
            <w:pPr>
              <w:spacing w:before="100"/>
              <w:jc w:val="center"/>
              <w:rPr>
                <w:color w:val="000000"/>
                <w:sz w:val="12"/>
              </w:rPr>
            </w:pPr>
            <w:r w:rsidRPr="00C23BC6">
              <w:rPr>
                <w:color w:val="000000"/>
                <w:sz w:val="12"/>
              </w:rPr>
              <w:t>Описание</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BB7F0D" w14:textId="77777777" w:rsidR="00A77B3E" w:rsidRDefault="00A77B3E">
            <w:pPr>
              <w:spacing w:before="100"/>
              <w:jc w:val="center"/>
              <w:rPr>
                <w:color w:val="000000"/>
                <w:sz w:val="12"/>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05FBFF"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A16398" w14:textId="77777777" w:rsidR="00A77B3E" w:rsidRDefault="00A77B3E">
            <w:pPr>
              <w:spacing w:before="100"/>
              <w:jc w:val="center"/>
              <w:rPr>
                <w:color w:val="000000"/>
                <w:sz w:val="12"/>
              </w:rPr>
            </w:pPr>
          </w:p>
        </w:tc>
      </w:tr>
    </w:tbl>
    <w:p w14:paraId="25E8B4D6" w14:textId="77777777" w:rsidR="00A77B3E" w:rsidRDefault="00E62050">
      <w:pPr>
        <w:spacing w:before="100"/>
        <w:rPr>
          <w:color w:val="000000"/>
          <w:sz w:val="12"/>
        </w:rPr>
      </w:pPr>
      <w:r>
        <w:rPr>
          <w:color w:val="000000"/>
          <w:sz w:val="12"/>
        </w:rPr>
        <w:t xml:space="preserve">(1) </w:t>
      </w:r>
      <w:r w:rsidR="00C23BC6" w:rsidRPr="00C23BC6">
        <w:rPr>
          <w:color w:val="000000"/>
          <w:sz w:val="12"/>
        </w:rPr>
        <w:t>Това се отнася до кода в приложение VI към регламентите за ФУМИ, ИУГВП и ФВС.</w:t>
      </w:r>
    </w:p>
    <w:p w14:paraId="6B6E349B" w14:textId="77777777" w:rsidR="00A77B3E" w:rsidRDefault="00E62050">
      <w:pPr>
        <w:spacing w:before="100"/>
        <w:rPr>
          <w:color w:val="000000"/>
          <w:sz w:val="12"/>
        </w:rPr>
      </w:pPr>
      <w:r>
        <w:rPr>
          <w:color w:val="000000"/>
          <w:sz w:val="12"/>
        </w:rPr>
        <w:t xml:space="preserve">(2) </w:t>
      </w:r>
      <w:r w:rsidR="00C23BC6" w:rsidRPr="00C23BC6">
        <w:rPr>
          <w:color w:val="000000"/>
          <w:sz w:val="12"/>
        </w:rPr>
        <w:t>Това се отнася до кода на общия показател, ако е приложимо</w:t>
      </w:r>
    </w:p>
    <w:p w14:paraId="796073EB" w14:textId="77777777" w:rsidR="00A77B3E" w:rsidRDefault="00A77B3E">
      <w:pPr>
        <w:spacing w:before="100"/>
        <w:rPr>
          <w:color w:val="000000"/>
        </w:rPr>
        <w:sectPr w:rsidR="00A77B3E">
          <w:headerReference w:type="even" r:id="rId88"/>
          <w:headerReference w:type="default" r:id="rId89"/>
          <w:footerReference w:type="even" r:id="rId90"/>
          <w:footerReference w:type="default" r:id="rId91"/>
          <w:headerReference w:type="first" r:id="rId92"/>
          <w:footerReference w:type="first" r:id="rId93"/>
          <w:pgSz w:w="16838" w:h="11906" w:orient="landscape"/>
          <w:pgMar w:top="720" w:right="720" w:bottom="864" w:left="936" w:header="288" w:footer="72" w:gutter="0"/>
          <w:cols w:space="720"/>
          <w:noEndnote/>
          <w:docGrid w:linePitch="360"/>
        </w:sectPr>
      </w:pPr>
    </w:p>
    <w:p w14:paraId="044BF61C" w14:textId="77777777" w:rsidR="00A77B3E" w:rsidRDefault="00651AAF">
      <w:pPr>
        <w:spacing w:before="100"/>
        <w:rPr>
          <w:color w:val="000000"/>
        </w:rPr>
      </w:pPr>
      <w:r w:rsidRPr="00651AAF">
        <w:rPr>
          <w:color w:val="000000"/>
        </w:rPr>
        <w:lastRenderedPageBreak/>
        <w:t xml:space="preserve">Допълнение </w:t>
      </w:r>
      <w:r w:rsidR="00220D10" w:rsidRPr="00220D10">
        <w:rPr>
          <w:color w:val="000000"/>
        </w:rPr>
        <w:t>1: Вноски на ЕС въз основа на единични разходи, еднократни суми или единни ставки</w:t>
      </w:r>
    </w:p>
    <w:p w14:paraId="712D4DD6" w14:textId="77777777" w:rsidR="00A77B3E" w:rsidRDefault="00E62050">
      <w:pPr>
        <w:pStyle w:val="Heading2"/>
        <w:spacing w:before="100" w:after="0"/>
        <w:rPr>
          <w:rFonts w:ascii="Times New Roman" w:hAnsi="Times New Roman" w:cs="Times New Roman"/>
          <w:b w:val="0"/>
          <w:i w:val="0"/>
          <w:color w:val="000000"/>
          <w:sz w:val="24"/>
        </w:rPr>
      </w:pPr>
      <w:bookmarkStart w:id="46" w:name="_Toc129599318"/>
      <w:r>
        <w:rPr>
          <w:rFonts w:ascii="Times New Roman" w:hAnsi="Times New Roman" w:cs="Times New Roman"/>
          <w:b w:val="0"/>
          <w:i w:val="0"/>
          <w:color w:val="000000"/>
          <w:sz w:val="24"/>
        </w:rPr>
        <w:t xml:space="preserve">B. </w:t>
      </w:r>
      <w:r w:rsidR="00E47BDF" w:rsidRPr="00E47BDF">
        <w:rPr>
          <w:rFonts w:ascii="Times New Roman" w:hAnsi="Times New Roman" w:cs="Times New Roman"/>
          <w:b w:val="0"/>
          <w:i w:val="0"/>
          <w:color w:val="000000"/>
          <w:sz w:val="24"/>
        </w:rPr>
        <w:t>Подробности за вида операция</w:t>
      </w:r>
      <w:bookmarkEnd w:id="46"/>
    </w:p>
    <w:p w14:paraId="720FF763" w14:textId="77777777" w:rsidR="00A77B3E" w:rsidRDefault="00A77B3E">
      <w:pPr>
        <w:spacing w:before="100"/>
        <w:rPr>
          <w:color w:val="000000"/>
        </w:rPr>
        <w:sectPr w:rsidR="00A77B3E">
          <w:pgSz w:w="16838" w:h="11906" w:orient="landscape"/>
          <w:pgMar w:top="720" w:right="720" w:bottom="864" w:left="936" w:header="288" w:footer="72" w:gutter="0"/>
          <w:cols w:space="720"/>
          <w:noEndnote/>
          <w:docGrid w:linePitch="360"/>
        </w:sectPr>
      </w:pPr>
    </w:p>
    <w:p w14:paraId="6992797D" w14:textId="77777777" w:rsidR="00A77B3E" w:rsidRDefault="00E62050" w:rsidP="002C20FF">
      <w:pPr>
        <w:pStyle w:val="Heading2"/>
        <w:spacing w:before="100"/>
        <w:rPr>
          <w:rFonts w:ascii="Times New Roman" w:hAnsi="Times New Roman" w:cs="Times New Roman"/>
          <w:b w:val="0"/>
          <w:i w:val="0"/>
          <w:color w:val="000000"/>
          <w:sz w:val="24"/>
        </w:rPr>
      </w:pPr>
      <w:bookmarkStart w:id="47" w:name="_Toc129599319"/>
      <w:r>
        <w:rPr>
          <w:rFonts w:ascii="Times New Roman" w:hAnsi="Times New Roman" w:cs="Times New Roman"/>
          <w:b w:val="0"/>
          <w:i w:val="0"/>
          <w:color w:val="000000"/>
          <w:sz w:val="24"/>
        </w:rPr>
        <w:lastRenderedPageBreak/>
        <w:t xml:space="preserve">C. </w:t>
      </w:r>
      <w:r w:rsidR="002C20FF" w:rsidRPr="002C20FF">
        <w:rPr>
          <w:rFonts w:ascii="Times New Roman" w:hAnsi="Times New Roman" w:cs="Times New Roman"/>
          <w:b w:val="0"/>
          <w:i w:val="0"/>
          <w:color w:val="000000"/>
          <w:sz w:val="24"/>
        </w:rPr>
        <w:t>Изчисляване на стандартната таблица на единичните разходи, еднократните суми</w:t>
      </w:r>
      <w:r w:rsidR="002C20FF">
        <w:rPr>
          <w:rFonts w:ascii="Times New Roman" w:hAnsi="Times New Roman" w:cs="Times New Roman"/>
          <w:b w:val="0"/>
          <w:i w:val="0"/>
          <w:color w:val="000000"/>
          <w:sz w:val="24"/>
          <w:lang w:val="bg-BG"/>
        </w:rPr>
        <w:t xml:space="preserve"> </w:t>
      </w:r>
      <w:r w:rsidR="002C20FF" w:rsidRPr="002C20FF">
        <w:rPr>
          <w:rFonts w:ascii="Times New Roman" w:hAnsi="Times New Roman" w:cs="Times New Roman"/>
          <w:b w:val="0"/>
          <w:i w:val="0"/>
          <w:color w:val="000000"/>
          <w:sz w:val="24"/>
        </w:rPr>
        <w:t>или единните ставки</w:t>
      </w:r>
      <w:bookmarkEnd w:id="47"/>
    </w:p>
    <w:p w14:paraId="334B993C" w14:textId="77777777" w:rsidR="00A77B3E" w:rsidRDefault="00E62050" w:rsidP="002C20FF">
      <w:pPr>
        <w:pStyle w:val="Heading4"/>
        <w:spacing w:before="100"/>
        <w:rPr>
          <w:b w:val="0"/>
          <w:color w:val="000000"/>
          <w:sz w:val="24"/>
        </w:rPr>
      </w:pPr>
      <w:bookmarkStart w:id="48" w:name="_Toc129599320"/>
      <w:r>
        <w:rPr>
          <w:b w:val="0"/>
          <w:color w:val="000000"/>
          <w:sz w:val="24"/>
        </w:rPr>
        <w:t xml:space="preserve">1. </w:t>
      </w:r>
      <w:r w:rsidR="002C20FF" w:rsidRPr="002C20FF">
        <w:rPr>
          <w:b w:val="0"/>
          <w:color w:val="000000"/>
          <w:sz w:val="24"/>
        </w:rPr>
        <w:t>Източник на данните, използвани за изчисляване на стандартната таблица на</w:t>
      </w:r>
      <w:r w:rsidR="002C20FF">
        <w:rPr>
          <w:b w:val="0"/>
          <w:color w:val="000000"/>
          <w:sz w:val="24"/>
          <w:lang w:val="bg-BG"/>
        </w:rPr>
        <w:t xml:space="preserve"> </w:t>
      </w:r>
      <w:r w:rsidR="002C20FF" w:rsidRPr="002C20FF">
        <w:rPr>
          <w:b w:val="0"/>
          <w:color w:val="000000"/>
          <w:sz w:val="24"/>
          <w:lang w:val="bg-BG"/>
        </w:rPr>
        <w:t>единичните разходи, еднократните суми или единните ставки (кой е генерирал,</w:t>
      </w:r>
      <w:r w:rsidR="002C20FF">
        <w:rPr>
          <w:b w:val="0"/>
          <w:color w:val="000000"/>
          <w:sz w:val="24"/>
          <w:lang w:val="bg-BG"/>
        </w:rPr>
        <w:t xml:space="preserve"> </w:t>
      </w:r>
      <w:r w:rsidR="002C20FF" w:rsidRPr="002C20FF">
        <w:rPr>
          <w:b w:val="0"/>
          <w:color w:val="000000"/>
          <w:sz w:val="24"/>
          <w:lang w:val="bg-BG"/>
        </w:rPr>
        <w:t>събрал и записал данните; къде се съхраняват данните; крайни срокове; валидиране</w:t>
      </w:r>
      <w:r w:rsidR="002C20FF">
        <w:rPr>
          <w:b w:val="0"/>
          <w:color w:val="000000"/>
          <w:sz w:val="24"/>
          <w:lang w:val="bg-BG"/>
        </w:rPr>
        <w:t xml:space="preserve"> </w:t>
      </w:r>
      <w:r w:rsidR="002C20FF">
        <w:rPr>
          <w:b w:val="0"/>
          <w:color w:val="000000"/>
          <w:sz w:val="24"/>
        </w:rPr>
        <w:t>и др.)</w:t>
      </w:r>
      <w:bookmarkEnd w:id="48"/>
    </w:p>
    <w:p w14:paraId="7642710E"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2F6D49" w14:paraId="6107977A"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6DF81341" w14:textId="77777777" w:rsidR="00A77B3E" w:rsidRDefault="00A77B3E">
            <w:pPr>
              <w:spacing w:before="100"/>
              <w:rPr>
                <w:color w:val="000000"/>
              </w:rPr>
            </w:pPr>
          </w:p>
        </w:tc>
      </w:tr>
    </w:tbl>
    <w:p w14:paraId="7B4B0EB0" w14:textId="77777777" w:rsidR="00A77B3E" w:rsidRPr="00AA79B4" w:rsidRDefault="00E62050" w:rsidP="00AA79B4">
      <w:pPr>
        <w:pStyle w:val="Heading4"/>
        <w:spacing w:before="100"/>
        <w:rPr>
          <w:b w:val="0"/>
          <w:color w:val="000000"/>
          <w:sz w:val="24"/>
          <w:lang w:val="bg-BG"/>
        </w:rPr>
      </w:pPr>
      <w:r>
        <w:rPr>
          <w:b w:val="0"/>
          <w:color w:val="000000"/>
          <w:sz w:val="24"/>
        </w:rPr>
        <w:br w:type="page"/>
      </w:r>
      <w:bookmarkStart w:id="49" w:name="_Toc129599321"/>
      <w:r>
        <w:rPr>
          <w:b w:val="0"/>
          <w:color w:val="000000"/>
          <w:sz w:val="24"/>
        </w:rPr>
        <w:lastRenderedPageBreak/>
        <w:t xml:space="preserve">2. </w:t>
      </w:r>
      <w:r w:rsidR="00AA79B4" w:rsidRPr="00AA79B4">
        <w:rPr>
          <w:b w:val="0"/>
          <w:color w:val="000000"/>
          <w:sz w:val="24"/>
        </w:rPr>
        <w:t>Моля, уточнете защо предложеният метод и изчисление въз основа на член 94,</w:t>
      </w:r>
      <w:r w:rsidR="00AA79B4">
        <w:rPr>
          <w:b w:val="0"/>
          <w:color w:val="000000"/>
          <w:sz w:val="24"/>
          <w:lang w:val="bg-BG"/>
        </w:rPr>
        <w:t xml:space="preserve"> </w:t>
      </w:r>
      <w:r w:rsidR="00AA79B4" w:rsidRPr="00AA79B4">
        <w:rPr>
          <w:b w:val="0"/>
          <w:color w:val="000000"/>
          <w:sz w:val="24"/>
          <w:lang w:val="bg-BG"/>
        </w:rPr>
        <w:t>параграф 2 от РОР са подходящи за този вид операция</w:t>
      </w:r>
      <w:r w:rsidRPr="00AA79B4">
        <w:rPr>
          <w:b w:val="0"/>
          <w:color w:val="000000"/>
          <w:sz w:val="24"/>
          <w:lang w:val="bg-BG"/>
        </w:rPr>
        <w:t>.</w:t>
      </w:r>
      <w:bookmarkEnd w:id="49"/>
    </w:p>
    <w:p w14:paraId="097F814F" w14:textId="77777777" w:rsidR="00A77B3E" w:rsidRPr="00AA79B4" w:rsidRDefault="00A77B3E">
      <w:pPr>
        <w:spacing w:before="100"/>
        <w:rPr>
          <w:color w:val="000000"/>
          <w:sz w:val="12"/>
          <w:lang w:val="bg-BG"/>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2F6D49" w:rsidRPr="00AA79B4" w14:paraId="6CF884D9"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7B90617A" w14:textId="77777777" w:rsidR="00A77B3E" w:rsidRPr="00AA79B4" w:rsidRDefault="00A77B3E">
            <w:pPr>
              <w:spacing w:before="100"/>
              <w:rPr>
                <w:color w:val="000000"/>
                <w:lang w:val="bg-BG"/>
              </w:rPr>
            </w:pPr>
          </w:p>
        </w:tc>
      </w:tr>
    </w:tbl>
    <w:p w14:paraId="150D58AB" w14:textId="77777777" w:rsidR="00A77B3E" w:rsidRPr="00AA79B4" w:rsidRDefault="00E62050" w:rsidP="00AA79B4">
      <w:pPr>
        <w:pStyle w:val="Heading4"/>
        <w:spacing w:before="100"/>
        <w:rPr>
          <w:b w:val="0"/>
          <w:color w:val="000000"/>
          <w:sz w:val="24"/>
          <w:lang w:val="bg-BG"/>
        </w:rPr>
      </w:pPr>
      <w:r w:rsidRPr="00AA79B4">
        <w:rPr>
          <w:b w:val="0"/>
          <w:color w:val="000000"/>
          <w:sz w:val="24"/>
          <w:lang w:val="bg-BG"/>
        </w:rPr>
        <w:br w:type="page"/>
      </w:r>
      <w:bookmarkStart w:id="50" w:name="_Toc129599322"/>
      <w:r w:rsidRPr="00AA79B4">
        <w:rPr>
          <w:b w:val="0"/>
          <w:color w:val="000000"/>
          <w:sz w:val="24"/>
          <w:lang w:val="bg-BG"/>
        </w:rPr>
        <w:lastRenderedPageBreak/>
        <w:t xml:space="preserve">3. </w:t>
      </w:r>
      <w:r w:rsidR="00AA79B4" w:rsidRPr="00AA79B4">
        <w:rPr>
          <w:b w:val="0"/>
          <w:color w:val="000000"/>
          <w:sz w:val="24"/>
          <w:lang w:val="bg-BG"/>
        </w:rPr>
        <w:t>Моля, посочете как са били направени изчисленията, включително и допускането по</w:t>
      </w:r>
      <w:r w:rsidR="00AA79B4">
        <w:rPr>
          <w:b w:val="0"/>
          <w:color w:val="000000"/>
          <w:sz w:val="24"/>
          <w:lang w:val="bg-BG"/>
        </w:rPr>
        <w:t xml:space="preserve"> </w:t>
      </w:r>
      <w:r w:rsidR="00AA79B4" w:rsidRPr="00AA79B4">
        <w:rPr>
          <w:b w:val="0"/>
          <w:color w:val="000000"/>
          <w:sz w:val="24"/>
          <w:lang w:val="bg-BG"/>
        </w:rPr>
        <w:t>отношение на качеството или количествата. Когато е приложимо, следва да се използват</w:t>
      </w:r>
      <w:r w:rsidR="00AA79B4">
        <w:rPr>
          <w:b w:val="0"/>
          <w:color w:val="000000"/>
          <w:sz w:val="24"/>
          <w:lang w:val="bg-BG"/>
        </w:rPr>
        <w:t xml:space="preserve"> </w:t>
      </w:r>
      <w:r w:rsidR="00AA79B4" w:rsidRPr="00AA79B4">
        <w:rPr>
          <w:b w:val="0"/>
          <w:color w:val="000000"/>
          <w:sz w:val="24"/>
          <w:lang w:val="bg-BG"/>
        </w:rPr>
        <w:t>статистически данни и референтни стойности, ако такива бъдат поискани, във формат,</w:t>
      </w:r>
      <w:r w:rsidR="00AA79B4">
        <w:rPr>
          <w:b w:val="0"/>
          <w:color w:val="000000"/>
          <w:sz w:val="24"/>
          <w:lang w:val="bg-BG"/>
        </w:rPr>
        <w:t xml:space="preserve"> </w:t>
      </w:r>
      <w:r w:rsidR="00AA79B4" w:rsidRPr="00AA79B4">
        <w:rPr>
          <w:b w:val="0"/>
          <w:color w:val="000000"/>
          <w:sz w:val="24"/>
          <w:lang w:val="bg-BG"/>
        </w:rPr>
        <w:t>позволяващ употребата им от Комисията</w:t>
      </w:r>
      <w:r w:rsidRPr="00AA79B4">
        <w:rPr>
          <w:b w:val="0"/>
          <w:color w:val="000000"/>
          <w:sz w:val="24"/>
          <w:lang w:val="bg-BG"/>
        </w:rPr>
        <w:t>.</w:t>
      </w:r>
      <w:bookmarkEnd w:id="50"/>
    </w:p>
    <w:p w14:paraId="3C0F57E3" w14:textId="77777777" w:rsidR="00A77B3E" w:rsidRPr="00AA79B4" w:rsidRDefault="00A77B3E">
      <w:pPr>
        <w:spacing w:before="100"/>
        <w:rPr>
          <w:color w:val="000000"/>
          <w:sz w:val="12"/>
          <w:lang w:val="bg-BG"/>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2F6D49" w:rsidRPr="00805365" w14:paraId="51E9B312"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33AB690C" w14:textId="77777777" w:rsidR="00A77B3E" w:rsidRPr="00AA79B4" w:rsidRDefault="00A77B3E">
            <w:pPr>
              <w:spacing w:before="100"/>
              <w:rPr>
                <w:color w:val="000000"/>
                <w:lang w:val="bg-BG"/>
              </w:rPr>
            </w:pPr>
          </w:p>
        </w:tc>
      </w:tr>
    </w:tbl>
    <w:p w14:paraId="0D879ED8" w14:textId="77777777" w:rsidR="00A77B3E" w:rsidRPr="00651AAF" w:rsidRDefault="00E62050" w:rsidP="00651AAF">
      <w:pPr>
        <w:pStyle w:val="Heading4"/>
        <w:spacing w:before="100"/>
        <w:rPr>
          <w:color w:val="000000"/>
          <w:sz w:val="12"/>
          <w:lang w:val="bg-BG"/>
        </w:rPr>
      </w:pPr>
      <w:r w:rsidRPr="00AA79B4">
        <w:rPr>
          <w:b w:val="0"/>
          <w:color w:val="000000"/>
          <w:sz w:val="24"/>
          <w:lang w:val="bg-BG"/>
        </w:rPr>
        <w:br w:type="page"/>
      </w:r>
      <w:bookmarkStart w:id="51" w:name="_Toc129599323"/>
      <w:r w:rsidRPr="00651AAF">
        <w:rPr>
          <w:b w:val="0"/>
          <w:color w:val="000000"/>
          <w:sz w:val="24"/>
          <w:lang w:val="bg-BG"/>
        </w:rPr>
        <w:lastRenderedPageBreak/>
        <w:t xml:space="preserve">4. </w:t>
      </w:r>
      <w:r w:rsidR="00651AAF" w:rsidRPr="00651AAF">
        <w:rPr>
          <w:b w:val="0"/>
          <w:color w:val="000000"/>
          <w:sz w:val="24"/>
          <w:lang w:val="bg-BG"/>
        </w:rPr>
        <w:t>Моля, обяснете как сте гарантирали, че само допустимите разходи са включени в</w:t>
      </w:r>
      <w:r w:rsidR="00651AAF">
        <w:rPr>
          <w:b w:val="0"/>
          <w:color w:val="000000"/>
          <w:sz w:val="24"/>
          <w:lang w:val="bg-BG"/>
        </w:rPr>
        <w:t xml:space="preserve"> </w:t>
      </w:r>
      <w:r w:rsidR="00651AAF" w:rsidRPr="00651AAF">
        <w:rPr>
          <w:b w:val="0"/>
          <w:color w:val="000000"/>
          <w:sz w:val="24"/>
          <w:lang w:val="bg-BG"/>
        </w:rPr>
        <w:t>изчислението на стандартната таблица на единичните разходи, еднократните суми</w:t>
      </w:r>
      <w:r w:rsidR="00651AAF">
        <w:rPr>
          <w:b w:val="0"/>
          <w:color w:val="000000"/>
          <w:sz w:val="24"/>
          <w:lang w:val="bg-BG"/>
        </w:rPr>
        <w:t xml:space="preserve"> </w:t>
      </w:r>
      <w:r w:rsidR="00651AAF" w:rsidRPr="00651AAF">
        <w:rPr>
          <w:b w:val="0"/>
          <w:color w:val="000000"/>
          <w:sz w:val="24"/>
          <w:lang w:val="bg-BG"/>
        </w:rPr>
        <w:t>или единните ставки</w:t>
      </w:r>
      <w:r w:rsidRPr="00651AAF">
        <w:rPr>
          <w:b w:val="0"/>
          <w:color w:val="000000"/>
          <w:sz w:val="24"/>
          <w:lang w:val="bg-BG"/>
        </w:rPr>
        <w:t>.</w:t>
      </w:r>
      <w:bookmarkEnd w:id="51"/>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2F6D49" w:rsidRPr="00805365" w14:paraId="4F8A2A4E"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26E58E20" w14:textId="77777777" w:rsidR="00A77B3E" w:rsidRPr="00651AAF" w:rsidRDefault="00A77B3E">
            <w:pPr>
              <w:spacing w:before="100"/>
              <w:rPr>
                <w:color w:val="000000"/>
                <w:lang w:val="bg-BG"/>
              </w:rPr>
            </w:pPr>
          </w:p>
        </w:tc>
      </w:tr>
    </w:tbl>
    <w:p w14:paraId="0285D386" w14:textId="77777777" w:rsidR="00A77B3E" w:rsidRPr="00651AAF" w:rsidRDefault="00E62050" w:rsidP="00651AAF">
      <w:pPr>
        <w:pStyle w:val="Heading4"/>
        <w:spacing w:before="100"/>
        <w:rPr>
          <w:b w:val="0"/>
          <w:color w:val="000000"/>
          <w:sz w:val="24"/>
          <w:lang w:val="bg-BG"/>
        </w:rPr>
      </w:pPr>
      <w:r w:rsidRPr="00651AAF">
        <w:rPr>
          <w:b w:val="0"/>
          <w:color w:val="000000"/>
          <w:sz w:val="24"/>
          <w:lang w:val="bg-BG"/>
        </w:rPr>
        <w:br w:type="page"/>
      </w:r>
      <w:bookmarkStart w:id="52" w:name="_Toc129599324"/>
      <w:r w:rsidRPr="00651AAF">
        <w:rPr>
          <w:b w:val="0"/>
          <w:color w:val="000000"/>
          <w:sz w:val="24"/>
          <w:lang w:val="bg-BG"/>
        </w:rPr>
        <w:lastRenderedPageBreak/>
        <w:t xml:space="preserve">5. </w:t>
      </w:r>
      <w:r w:rsidR="00651AAF" w:rsidRPr="00651AAF">
        <w:rPr>
          <w:b w:val="0"/>
          <w:color w:val="000000"/>
          <w:sz w:val="24"/>
          <w:lang w:val="bg-BG"/>
        </w:rPr>
        <w:t>Оценка на одитния(те) орган(и) на методиката на изчисление и на размера, както и</w:t>
      </w:r>
      <w:r w:rsidR="00651AAF">
        <w:rPr>
          <w:b w:val="0"/>
          <w:color w:val="000000"/>
          <w:sz w:val="24"/>
          <w:lang w:val="bg-BG"/>
        </w:rPr>
        <w:t xml:space="preserve"> </w:t>
      </w:r>
      <w:r w:rsidR="00651AAF" w:rsidRPr="00651AAF">
        <w:rPr>
          <w:b w:val="0"/>
          <w:color w:val="000000"/>
          <w:sz w:val="24"/>
          <w:lang w:val="bg-BG"/>
        </w:rPr>
        <w:t>на механизмите, осигуряващи проверката, качеството, събирането и съхранението на</w:t>
      </w:r>
      <w:r w:rsidR="00651AAF">
        <w:rPr>
          <w:b w:val="0"/>
          <w:color w:val="000000"/>
          <w:sz w:val="24"/>
          <w:lang w:val="bg-BG"/>
        </w:rPr>
        <w:t xml:space="preserve"> </w:t>
      </w:r>
      <w:r w:rsidR="00651AAF" w:rsidRPr="00651AAF">
        <w:rPr>
          <w:b w:val="0"/>
          <w:color w:val="000000"/>
          <w:sz w:val="24"/>
          <w:lang w:val="bg-BG"/>
        </w:rPr>
        <w:t>данните</w:t>
      </w:r>
      <w:r w:rsidRPr="00651AAF">
        <w:rPr>
          <w:b w:val="0"/>
          <w:color w:val="000000"/>
          <w:sz w:val="24"/>
          <w:lang w:val="bg-BG"/>
        </w:rPr>
        <w:t>.</w:t>
      </w:r>
      <w:bookmarkEnd w:id="52"/>
    </w:p>
    <w:p w14:paraId="63105F58" w14:textId="77777777" w:rsidR="00A77B3E" w:rsidRPr="00651AAF" w:rsidRDefault="00A77B3E">
      <w:pPr>
        <w:spacing w:before="100"/>
        <w:rPr>
          <w:color w:val="000000"/>
          <w:sz w:val="12"/>
          <w:lang w:val="bg-BG"/>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2F6D49" w:rsidRPr="00805365" w14:paraId="129B2B5B"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06269E7F" w14:textId="77777777" w:rsidR="00A77B3E" w:rsidRPr="00651AAF" w:rsidRDefault="00A77B3E">
            <w:pPr>
              <w:spacing w:before="100"/>
              <w:rPr>
                <w:color w:val="000000"/>
                <w:lang w:val="bg-BG"/>
              </w:rPr>
            </w:pPr>
          </w:p>
        </w:tc>
      </w:tr>
    </w:tbl>
    <w:p w14:paraId="3066CA37" w14:textId="77777777" w:rsidR="00A77B3E" w:rsidRPr="00651AAF" w:rsidRDefault="00A77B3E">
      <w:pPr>
        <w:spacing w:before="100"/>
        <w:rPr>
          <w:color w:val="000000"/>
          <w:lang w:val="bg-BG"/>
        </w:rPr>
        <w:sectPr w:rsidR="00A77B3E" w:rsidRPr="00651AAF">
          <w:headerReference w:type="even" r:id="rId94"/>
          <w:headerReference w:type="default" r:id="rId95"/>
          <w:footerReference w:type="even" r:id="rId96"/>
          <w:footerReference w:type="default" r:id="rId97"/>
          <w:headerReference w:type="first" r:id="rId98"/>
          <w:footerReference w:type="first" r:id="rId99"/>
          <w:pgSz w:w="11906" w:h="16838"/>
          <w:pgMar w:top="720" w:right="936" w:bottom="864" w:left="720" w:header="0" w:footer="72" w:gutter="0"/>
          <w:cols w:space="720"/>
          <w:noEndnote/>
          <w:docGrid w:linePitch="360"/>
        </w:sectPr>
      </w:pPr>
    </w:p>
    <w:p w14:paraId="726862BD" w14:textId="77777777" w:rsidR="00A77B3E" w:rsidRPr="00651AAF" w:rsidRDefault="00651AAF">
      <w:pPr>
        <w:pStyle w:val="Heading1"/>
        <w:spacing w:before="100" w:after="0"/>
        <w:rPr>
          <w:rFonts w:ascii="Times New Roman" w:hAnsi="Times New Roman" w:cs="Times New Roman"/>
          <w:b w:val="0"/>
          <w:color w:val="000000"/>
          <w:sz w:val="24"/>
          <w:lang w:val="bg-BG"/>
        </w:rPr>
      </w:pPr>
      <w:bookmarkStart w:id="53" w:name="_Toc129599325"/>
      <w:r w:rsidRPr="00651AAF">
        <w:rPr>
          <w:rFonts w:ascii="Times New Roman" w:hAnsi="Times New Roman" w:cs="Times New Roman"/>
          <w:b w:val="0"/>
          <w:color w:val="000000"/>
          <w:sz w:val="24"/>
          <w:lang w:val="bg-BG"/>
        </w:rPr>
        <w:lastRenderedPageBreak/>
        <w:t xml:space="preserve">Допълнение </w:t>
      </w:r>
      <w:r w:rsidR="00E62050" w:rsidRPr="00651AAF">
        <w:rPr>
          <w:rFonts w:ascii="Times New Roman" w:hAnsi="Times New Roman" w:cs="Times New Roman"/>
          <w:b w:val="0"/>
          <w:color w:val="000000"/>
          <w:sz w:val="24"/>
          <w:lang w:val="bg-BG"/>
        </w:rPr>
        <w:t xml:space="preserve">2: </w:t>
      </w:r>
      <w:r w:rsidRPr="00651AAF">
        <w:rPr>
          <w:rFonts w:ascii="Times New Roman" w:hAnsi="Times New Roman" w:cs="Times New Roman"/>
          <w:b w:val="0"/>
          <w:color w:val="000000"/>
          <w:sz w:val="24"/>
          <w:lang w:val="bg-BG"/>
        </w:rPr>
        <w:t>Финансово участие на Съюза на основата на финансиране, което не е свързано с разходите</w:t>
      </w:r>
      <w:bookmarkEnd w:id="53"/>
    </w:p>
    <w:p w14:paraId="29A0E6CC" w14:textId="77777777" w:rsidR="00A77B3E" w:rsidRPr="00651AAF" w:rsidRDefault="00E62050">
      <w:pPr>
        <w:pStyle w:val="Heading2"/>
        <w:spacing w:before="100" w:after="0"/>
        <w:rPr>
          <w:rFonts w:ascii="Times New Roman" w:hAnsi="Times New Roman" w:cs="Times New Roman"/>
          <w:b w:val="0"/>
          <w:i w:val="0"/>
          <w:color w:val="000000"/>
          <w:sz w:val="24"/>
          <w:lang w:val="bg-BG"/>
        </w:rPr>
      </w:pPr>
      <w:bookmarkStart w:id="54" w:name="_Toc129599326"/>
      <w:r>
        <w:rPr>
          <w:rFonts w:ascii="Times New Roman" w:hAnsi="Times New Roman" w:cs="Times New Roman"/>
          <w:b w:val="0"/>
          <w:i w:val="0"/>
          <w:color w:val="000000"/>
          <w:sz w:val="24"/>
        </w:rPr>
        <w:t>A</w:t>
      </w:r>
      <w:r w:rsidRPr="00651AAF">
        <w:rPr>
          <w:rFonts w:ascii="Times New Roman" w:hAnsi="Times New Roman" w:cs="Times New Roman"/>
          <w:b w:val="0"/>
          <w:i w:val="0"/>
          <w:color w:val="000000"/>
          <w:sz w:val="24"/>
          <w:lang w:val="bg-BG"/>
        </w:rPr>
        <w:t xml:space="preserve">. </w:t>
      </w:r>
      <w:r w:rsidR="00651AAF" w:rsidRPr="00651AAF">
        <w:rPr>
          <w:rFonts w:ascii="Times New Roman" w:hAnsi="Times New Roman" w:cs="Times New Roman"/>
          <w:b w:val="0"/>
          <w:i w:val="0"/>
          <w:color w:val="000000"/>
          <w:sz w:val="24"/>
          <w:lang w:val="bg-BG"/>
        </w:rPr>
        <w:t>Обобщение на основните елементи</w:t>
      </w:r>
      <w:bookmarkEnd w:id="54"/>
    </w:p>
    <w:p w14:paraId="1CC2D696" w14:textId="77777777" w:rsidR="00A77B3E" w:rsidRPr="00651AAF" w:rsidRDefault="00A77B3E">
      <w:pPr>
        <w:spacing w:before="100"/>
        <w:rPr>
          <w:color w:val="000000"/>
          <w:sz w:val="1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569"/>
        <w:gridCol w:w="1255"/>
        <w:gridCol w:w="1570"/>
        <w:gridCol w:w="1883"/>
        <w:gridCol w:w="1570"/>
        <w:gridCol w:w="1570"/>
        <w:gridCol w:w="1570"/>
        <w:gridCol w:w="2093"/>
      </w:tblGrid>
      <w:tr w:rsidR="002F6D49" w14:paraId="372890A8" w14:textId="77777777">
        <w:trPr>
          <w:tblHeader/>
        </w:trPr>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AEEDFD" w14:textId="77777777" w:rsidR="00A77B3E" w:rsidRDefault="00651AAF" w:rsidP="00651AAF">
            <w:pPr>
              <w:spacing w:before="100"/>
              <w:jc w:val="center"/>
              <w:rPr>
                <w:color w:val="000000"/>
                <w:sz w:val="12"/>
              </w:rPr>
            </w:pPr>
            <w:r w:rsidRPr="00651AAF">
              <w:rPr>
                <w:color w:val="000000"/>
                <w:sz w:val="12"/>
              </w:rPr>
              <w:t>Специфична</w:t>
            </w:r>
            <w:r>
              <w:rPr>
                <w:color w:val="000000"/>
                <w:sz w:val="12"/>
                <w:lang w:val="bg-BG"/>
              </w:rPr>
              <w:t xml:space="preserve"> </w:t>
            </w:r>
            <w:r w:rsidRPr="00651AAF">
              <w:rPr>
                <w:color w:val="000000"/>
                <w:sz w:val="12"/>
              </w:rPr>
              <w:t>цел</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ECF746" w14:textId="77777777" w:rsidR="00A77B3E" w:rsidRDefault="00CE60A2" w:rsidP="00CE60A2">
            <w:pPr>
              <w:spacing w:before="100"/>
              <w:jc w:val="center"/>
              <w:rPr>
                <w:color w:val="000000"/>
                <w:sz w:val="12"/>
              </w:rPr>
            </w:pPr>
            <w:r w:rsidRPr="00CE60A2">
              <w:rPr>
                <w:color w:val="000000"/>
                <w:sz w:val="12"/>
              </w:rPr>
              <w:t>Сумата,</w:t>
            </w:r>
            <w:r>
              <w:rPr>
                <w:color w:val="000000"/>
                <w:sz w:val="12"/>
                <w:lang w:val="bg-BG"/>
              </w:rPr>
              <w:t xml:space="preserve"> </w:t>
            </w:r>
            <w:r w:rsidRPr="00CE60A2">
              <w:rPr>
                <w:color w:val="000000"/>
                <w:sz w:val="12"/>
              </w:rPr>
              <w:t>покрита от</w:t>
            </w:r>
            <w:r>
              <w:rPr>
                <w:color w:val="000000"/>
                <w:sz w:val="12"/>
                <w:lang w:val="bg-BG"/>
              </w:rPr>
              <w:t xml:space="preserve"> </w:t>
            </w:r>
            <w:r w:rsidRPr="00CE60A2">
              <w:rPr>
                <w:color w:val="000000"/>
                <w:sz w:val="12"/>
              </w:rPr>
              <w:t>финансиране,</w:t>
            </w:r>
            <w:r>
              <w:rPr>
                <w:color w:val="000000"/>
                <w:sz w:val="12"/>
                <w:lang w:val="bg-BG"/>
              </w:rPr>
              <w:t xml:space="preserve"> </w:t>
            </w:r>
            <w:r w:rsidRPr="00CE60A2">
              <w:rPr>
                <w:color w:val="000000"/>
                <w:sz w:val="12"/>
              </w:rPr>
              <w:t>което не е</w:t>
            </w:r>
            <w:r>
              <w:rPr>
                <w:color w:val="000000"/>
                <w:sz w:val="12"/>
                <w:lang w:val="bg-BG"/>
              </w:rPr>
              <w:t xml:space="preserve"> </w:t>
            </w:r>
            <w:r w:rsidRPr="00CE60A2">
              <w:rPr>
                <w:color w:val="000000"/>
                <w:sz w:val="12"/>
              </w:rPr>
              <w:t>свързано с</w:t>
            </w:r>
            <w:r>
              <w:rPr>
                <w:color w:val="000000"/>
                <w:sz w:val="12"/>
                <w:lang w:val="bg-BG"/>
              </w:rPr>
              <w:t xml:space="preserve"> </w:t>
            </w:r>
            <w:r w:rsidRPr="00CE60A2">
              <w:rPr>
                <w:color w:val="000000"/>
                <w:sz w:val="12"/>
              </w:rPr>
              <w:t>разходи</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D715B8" w14:textId="77777777" w:rsidR="00A77B3E" w:rsidRDefault="00CE60A2" w:rsidP="00CE60A2">
            <w:pPr>
              <w:spacing w:before="100"/>
              <w:jc w:val="center"/>
              <w:rPr>
                <w:color w:val="000000"/>
                <w:sz w:val="12"/>
              </w:rPr>
            </w:pPr>
            <w:r w:rsidRPr="00CE60A2">
              <w:rPr>
                <w:color w:val="000000"/>
                <w:sz w:val="12"/>
              </w:rPr>
              <w:t>Вид(ове)</w:t>
            </w:r>
            <w:r>
              <w:rPr>
                <w:color w:val="000000"/>
                <w:sz w:val="12"/>
                <w:lang w:val="bg-BG"/>
              </w:rPr>
              <w:t xml:space="preserve"> </w:t>
            </w:r>
            <w:r w:rsidRPr="00CE60A2">
              <w:rPr>
                <w:color w:val="000000"/>
                <w:sz w:val="12"/>
              </w:rPr>
              <w:t>обхваната(и)</w:t>
            </w:r>
            <w:r>
              <w:rPr>
                <w:color w:val="000000"/>
                <w:sz w:val="12"/>
                <w:lang w:val="bg-BG"/>
              </w:rPr>
              <w:t xml:space="preserve"> </w:t>
            </w:r>
            <w:r w:rsidRPr="00CE60A2">
              <w:rPr>
                <w:color w:val="000000"/>
                <w:sz w:val="12"/>
              </w:rPr>
              <w:t>операция(и)</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68ECCA" w14:textId="77777777" w:rsidR="00A77B3E" w:rsidRDefault="00CE60A2" w:rsidP="00CE60A2">
            <w:pPr>
              <w:spacing w:before="100"/>
              <w:jc w:val="center"/>
              <w:rPr>
                <w:color w:val="000000"/>
                <w:sz w:val="12"/>
              </w:rPr>
            </w:pPr>
            <w:r w:rsidRPr="00CE60A2">
              <w:rPr>
                <w:color w:val="000000"/>
                <w:sz w:val="12"/>
              </w:rPr>
              <w:t>Условия, които трябва</w:t>
            </w:r>
            <w:r>
              <w:rPr>
                <w:color w:val="000000"/>
                <w:sz w:val="12"/>
                <w:lang w:val="bg-BG"/>
              </w:rPr>
              <w:t xml:space="preserve"> </w:t>
            </w:r>
            <w:r w:rsidRPr="00CE60A2">
              <w:rPr>
                <w:color w:val="000000"/>
                <w:sz w:val="12"/>
              </w:rPr>
              <w:t>да бъдат</w:t>
            </w:r>
            <w:r>
              <w:rPr>
                <w:color w:val="000000"/>
                <w:sz w:val="12"/>
                <w:lang w:val="bg-BG"/>
              </w:rPr>
              <w:t xml:space="preserve"> </w:t>
            </w:r>
            <w:r w:rsidRPr="00CE60A2">
              <w:rPr>
                <w:color w:val="000000"/>
                <w:sz w:val="12"/>
              </w:rPr>
              <w:t>изпълнени/резултати,</w:t>
            </w:r>
            <w:r>
              <w:rPr>
                <w:color w:val="000000"/>
                <w:sz w:val="12"/>
                <w:lang w:val="bg-BG"/>
              </w:rPr>
              <w:t xml:space="preserve"> </w:t>
            </w:r>
            <w:r w:rsidRPr="00CE60A2">
              <w:rPr>
                <w:color w:val="000000"/>
                <w:sz w:val="12"/>
              </w:rPr>
              <w:t>които трябва да бъдат</w:t>
            </w:r>
            <w:r>
              <w:rPr>
                <w:color w:val="000000"/>
                <w:sz w:val="12"/>
                <w:lang w:val="bg-BG"/>
              </w:rPr>
              <w:t xml:space="preserve"> </w:t>
            </w:r>
            <w:r w:rsidRPr="00CE60A2">
              <w:rPr>
                <w:color w:val="000000"/>
                <w:sz w:val="12"/>
              </w:rPr>
              <w:t>постигнати, за да се</w:t>
            </w:r>
            <w:r>
              <w:rPr>
                <w:color w:val="000000"/>
                <w:sz w:val="12"/>
                <w:lang w:val="bg-BG"/>
              </w:rPr>
              <w:t xml:space="preserve"> </w:t>
            </w:r>
            <w:r w:rsidRPr="00CE60A2">
              <w:rPr>
                <w:color w:val="000000"/>
                <w:sz w:val="12"/>
              </w:rPr>
              <w:t>извърши</w:t>
            </w:r>
            <w:r>
              <w:rPr>
                <w:color w:val="000000"/>
                <w:sz w:val="12"/>
                <w:lang w:val="bg-BG"/>
              </w:rPr>
              <w:t xml:space="preserve"> </w:t>
            </w:r>
            <w:r w:rsidRPr="00CE60A2">
              <w:rPr>
                <w:color w:val="000000"/>
                <w:sz w:val="12"/>
              </w:rPr>
              <w:t>възстановяване на</w:t>
            </w:r>
            <w:r>
              <w:rPr>
                <w:color w:val="000000"/>
                <w:sz w:val="12"/>
                <w:lang w:val="bg-BG"/>
              </w:rPr>
              <w:t xml:space="preserve"> </w:t>
            </w:r>
            <w:r w:rsidRPr="00CE60A2">
              <w:rPr>
                <w:color w:val="000000"/>
                <w:sz w:val="12"/>
              </w:rPr>
              <w:t>разходи от Комисията</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50DD05" w14:textId="77777777" w:rsidR="00A77B3E" w:rsidRDefault="00CE60A2">
            <w:pPr>
              <w:spacing w:before="100"/>
              <w:jc w:val="center"/>
              <w:rPr>
                <w:color w:val="000000"/>
                <w:sz w:val="12"/>
              </w:rPr>
            </w:pPr>
            <w:r w:rsidRPr="00CE60A2">
              <w:rPr>
                <w:color w:val="000000"/>
                <w:sz w:val="12"/>
              </w:rPr>
              <w:t>Показател</w:t>
            </w:r>
            <w:r>
              <w:rPr>
                <w:color w:val="000000"/>
                <w:sz w:val="12"/>
                <w:lang w:val="bg-BG"/>
              </w:rPr>
              <w:t>и</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3BE846" w14:textId="77777777" w:rsidR="00A77B3E" w:rsidRDefault="00CE60A2" w:rsidP="00CE60A2">
            <w:pPr>
              <w:spacing w:before="100"/>
              <w:jc w:val="center"/>
              <w:rPr>
                <w:color w:val="000000"/>
                <w:sz w:val="12"/>
              </w:rPr>
            </w:pPr>
            <w:r w:rsidRPr="00CE60A2">
              <w:rPr>
                <w:color w:val="000000"/>
                <w:sz w:val="12"/>
              </w:rPr>
              <w:t>Мерна единица за</w:t>
            </w:r>
            <w:r>
              <w:rPr>
                <w:color w:val="000000"/>
                <w:sz w:val="12"/>
                <w:lang w:val="bg-BG"/>
              </w:rPr>
              <w:t xml:space="preserve"> </w:t>
            </w:r>
            <w:r w:rsidRPr="00CE60A2">
              <w:rPr>
                <w:color w:val="000000"/>
                <w:sz w:val="12"/>
              </w:rPr>
              <w:t>условията, които трябва</w:t>
            </w:r>
            <w:r>
              <w:rPr>
                <w:color w:val="000000"/>
                <w:sz w:val="12"/>
                <w:lang w:val="bg-BG"/>
              </w:rPr>
              <w:t xml:space="preserve"> </w:t>
            </w:r>
            <w:r w:rsidRPr="00CE60A2">
              <w:rPr>
                <w:color w:val="000000"/>
                <w:sz w:val="12"/>
              </w:rPr>
              <w:t>да бъдат</w:t>
            </w:r>
            <w:r>
              <w:rPr>
                <w:color w:val="000000"/>
                <w:sz w:val="12"/>
                <w:lang w:val="bg-BG"/>
              </w:rPr>
              <w:t xml:space="preserve"> </w:t>
            </w:r>
            <w:r w:rsidRPr="00CE60A2">
              <w:rPr>
                <w:color w:val="000000"/>
                <w:sz w:val="12"/>
              </w:rPr>
              <w:t>изпълнени/резултатите,</w:t>
            </w:r>
            <w:r>
              <w:rPr>
                <w:color w:val="000000"/>
                <w:sz w:val="12"/>
                <w:lang w:val="bg-BG"/>
              </w:rPr>
              <w:t xml:space="preserve"> </w:t>
            </w:r>
            <w:r w:rsidRPr="00CE60A2">
              <w:rPr>
                <w:color w:val="000000"/>
                <w:sz w:val="12"/>
              </w:rPr>
              <w:t>които трябва да бъдат</w:t>
            </w:r>
            <w:r>
              <w:rPr>
                <w:color w:val="000000"/>
                <w:sz w:val="12"/>
                <w:lang w:val="bg-BG"/>
              </w:rPr>
              <w:t xml:space="preserve"> </w:t>
            </w:r>
            <w:r w:rsidRPr="00CE60A2">
              <w:rPr>
                <w:color w:val="000000"/>
                <w:sz w:val="12"/>
              </w:rPr>
              <w:t>постигнати, за да се</w:t>
            </w:r>
            <w:r>
              <w:rPr>
                <w:color w:val="000000"/>
                <w:sz w:val="12"/>
                <w:lang w:val="bg-BG"/>
              </w:rPr>
              <w:t xml:space="preserve"> </w:t>
            </w:r>
            <w:r w:rsidRPr="00CE60A2">
              <w:rPr>
                <w:color w:val="000000"/>
                <w:sz w:val="12"/>
              </w:rPr>
              <w:t>извърши възстановяване</w:t>
            </w:r>
            <w:r>
              <w:rPr>
                <w:color w:val="000000"/>
                <w:sz w:val="12"/>
                <w:lang w:val="bg-BG"/>
              </w:rPr>
              <w:t xml:space="preserve"> </w:t>
            </w:r>
            <w:r w:rsidRPr="00CE60A2">
              <w:rPr>
                <w:color w:val="000000"/>
                <w:sz w:val="12"/>
              </w:rPr>
              <w:t>на разходи от Комисията</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4AAF00" w14:textId="77777777" w:rsidR="00A77B3E" w:rsidRDefault="00CE60A2" w:rsidP="00CE60A2">
            <w:pPr>
              <w:spacing w:before="100"/>
              <w:jc w:val="center"/>
              <w:rPr>
                <w:color w:val="000000"/>
                <w:sz w:val="12"/>
              </w:rPr>
            </w:pPr>
            <w:r w:rsidRPr="00CE60A2">
              <w:rPr>
                <w:color w:val="000000"/>
                <w:sz w:val="12"/>
              </w:rPr>
              <w:t>Предвиден вид</w:t>
            </w:r>
            <w:r>
              <w:rPr>
                <w:color w:val="000000"/>
                <w:sz w:val="12"/>
                <w:lang w:val="bg-BG"/>
              </w:rPr>
              <w:t xml:space="preserve"> </w:t>
            </w:r>
            <w:r w:rsidRPr="00CE60A2">
              <w:rPr>
                <w:color w:val="000000"/>
                <w:sz w:val="12"/>
              </w:rPr>
              <w:t>метод за</w:t>
            </w:r>
            <w:r>
              <w:rPr>
                <w:color w:val="000000"/>
                <w:sz w:val="12"/>
                <w:lang w:val="bg-BG"/>
              </w:rPr>
              <w:t xml:space="preserve"> </w:t>
            </w:r>
            <w:r w:rsidRPr="00CE60A2">
              <w:rPr>
                <w:color w:val="000000"/>
                <w:sz w:val="12"/>
              </w:rPr>
              <w:t>възстановяване</w:t>
            </w:r>
            <w:r>
              <w:rPr>
                <w:color w:val="000000"/>
                <w:sz w:val="12"/>
                <w:lang w:val="bg-BG"/>
              </w:rPr>
              <w:t xml:space="preserve"> </w:t>
            </w:r>
            <w:r w:rsidRPr="00CE60A2">
              <w:rPr>
                <w:color w:val="000000"/>
                <w:sz w:val="12"/>
              </w:rPr>
              <w:t>на разходите,</w:t>
            </w:r>
            <w:r>
              <w:rPr>
                <w:color w:val="000000"/>
                <w:sz w:val="12"/>
                <w:lang w:val="bg-BG"/>
              </w:rPr>
              <w:t xml:space="preserve"> </w:t>
            </w:r>
            <w:r w:rsidRPr="00CE60A2">
              <w:rPr>
                <w:color w:val="000000"/>
                <w:sz w:val="12"/>
              </w:rPr>
              <w:t>използван за</w:t>
            </w:r>
            <w:r>
              <w:rPr>
                <w:color w:val="000000"/>
                <w:sz w:val="12"/>
                <w:lang w:val="bg-BG"/>
              </w:rPr>
              <w:t xml:space="preserve"> </w:t>
            </w:r>
            <w:r w:rsidRPr="00CE60A2">
              <w:rPr>
                <w:color w:val="000000"/>
                <w:sz w:val="12"/>
              </w:rPr>
              <w:t>възстановяване</w:t>
            </w:r>
            <w:r>
              <w:rPr>
                <w:color w:val="000000"/>
                <w:sz w:val="12"/>
                <w:lang w:val="bg-BG"/>
              </w:rPr>
              <w:t xml:space="preserve"> </w:t>
            </w:r>
            <w:r w:rsidRPr="00CE60A2">
              <w:rPr>
                <w:color w:val="000000"/>
                <w:sz w:val="12"/>
              </w:rPr>
              <w:t>на разходите на</w:t>
            </w:r>
            <w:r>
              <w:rPr>
                <w:color w:val="000000"/>
                <w:sz w:val="12"/>
                <w:lang w:val="bg-BG"/>
              </w:rPr>
              <w:t xml:space="preserve"> </w:t>
            </w:r>
            <w:r w:rsidRPr="00CE60A2">
              <w:rPr>
                <w:color w:val="000000"/>
                <w:sz w:val="12"/>
              </w:rPr>
              <w:t>бенефициера</w:t>
            </w:r>
            <w:r>
              <w:rPr>
                <w:color w:val="000000"/>
                <w:sz w:val="12"/>
                <w:lang w:val="bg-BG"/>
              </w:rPr>
              <w:t xml:space="preserve"> </w:t>
            </w:r>
            <w:r w:rsidRPr="00CE60A2">
              <w:rPr>
                <w:color w:val="000000"/>
                <w:sz w:val="12"/>
              </w:rPr>
              <w:t>или</w:t>
            </w:r>
            <w:r>
              <w:rPr>
                <w:color w:val="000000"/>
                <w:sz w:val="12"/>
                <w:lang w:val="bg-BG"/>
              </w:rPr>
              <w:t xml:space="preserve"> </w:t>
            </w:r>
            <w:r w:rsidRPr="00CE60A2">
              <w:rPr>
                <w:color w:val="000000"/>
                <w:sz w:val="12"/>
              </w:rPr>
              <w:t>бенефициерите</w:t>
            </w:r>
          </w:p>
        </w:tc>
      </w:tr>
      <w:tr w:rsidR="002F6D49" w14:paraId="2D174F3C" w14:textId="77777777">
        <w:trPr>
          <w:tblHeader/>
        </w:trPr>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4247F6"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CF746B" w14:textId="77777777" w:rsidR="00A77B3E" w:rsidRDefault="00A77B3E">
            <w:pPr>
              <w:spacing w:before="100"/>
              <w:jc w:val="center"/>
              <w:rPr>
                <w:color w:val="000000"/>
                <w:sz w:val="12"/>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B214B8" w14:textId="77777777" w:rsidR="00A77B3E" w:rsidRDefault="00CE60A2">
            <w:pPr>
              <w:spacing w:before="100"/>
              <w:jc w:val="center"/>
              <w:rPr>
                <w:color w:val="000000"/>
                <w:sz w:val="12"/>
              </w:rPr>
            </w:pPr>
            <w:r>
              <w:rPr>
                <w:color w:val="000000"/>
                <w:sz w:val="12"/>
              </w:rPr>
              <w:t>Код</w:t>
            </w:r>
            <w:r w:rsidR="00E62050">
              <w:rPr>
                <w:color w:val="000000"/>
                <w:sz w:val="12"/>
              </w:rPr>
              <w:t>(1)</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D1CD9A" w14:textId="77777777" w:rsidR="00A77B3E" w:rsidRDefault="00CE60A2">
            <w:pPr>
              <w:spacing w:before="100"/>
              <w:jc w:val="center"/>
              <w:rPr>
                <w:color w:val="000000"/>
                <w:sz w:val="12"/>
              </w:rPr>
            </w:pPr>
            <w:r w:rsidRPr="00CE60A2">
              <w:rPr>
                <w:color w:val="000000"/>
                <w:sz w:val="12"/>
              </w:rPr>
              <w:t>Описание</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C98966" w14:textId="77777777" w:rsidR="00A77B3E" w:rsidRDefault="00A77B3E">
            <w:pPr>
              <w:spacing w:before="100"/>
              <w:jc w:val="center"/>
              <w:rPr>
                <w:color w:val="000000"/>
                <w:sz w:val="12"/>
              </w:rPr>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A90305" w14:textId="77777777" w:rsidR="00A77B3E" w:rsidRDefault="00CE60A2">
            <w:pPr>
              <w:spacing w:before="100"/>
              <w:jc w:val="center"/>
              <w:rPr>
                <w:color w:val="000000"/>
                <w:sz w:val="12"/>
              </w:rPr>
            </w:pPr>
            <w:r>
              <w:rPr>
                <w:color w:val="000000"/>
                <w:sz w:val="12"/>
                <w:lang w:val="bg-BG"/>
              </w:rPr>
              <w:t>Код</w:t>
            </w:r>
            <w:r w:rsidR="00E62050">
              <w:rPr>
                <w:color w:val="000000"/>
                <w:sz w:val="12"/>
              </w:rPr>
              <w:t>(2)</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E59F0C" w14:textId="77777777" w:rsidR="00A77B3E" w:rsidRDefault="00CE60A2">
            <w:pPr>
              <w:spacing w:before="100"/>
              <w:jc w:val="center"/>
              <w:rPr>
                <w:color w:val="000000"/>
                <w:sz w:val="12"/>
              </w:rPr>
            </w:pPr>
            <w:r w:rsidRPr="00CE60A2">
              <w:rPr>
                <w:color w:val="000000"/>
                <w:sz w:val="12"/>
              </w:rPr>
              <w:t>Описание</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136D19" w14:textId="77777777" w:rsidR="00A77B3E" w:rsidRDefault="00A77B3E">
            <w:pPr>
              <w:spacing w:before="100"/>
              <w:jc w:val="center"/>
              <w:rPr>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4D1479" w14:textId="77777777" w:rsidR="00A77B3E" w:rsidRDefault="00A77B3E">
            <w:pPr>
              <w:spacing w:before="100"/>
              <w:jc w:val="center"/>
              <w:rPr>
                <w:color w:val="000000"/>
                <w:sz w:val="12"/>
              </w:rPr>
            </w:pPr>
          </w:p>
        </w:tc>
      </w:tr>
    </w:tbl>
    <w:p w14:paraId="72476C23" w14:textId="77777777" w:rsidR="00A77B3E" w:rsidRDefault="00E62050">
      <w:pPr>
        <w:spacing w:before="100"/>
        <w:rPr>
          <w:color w:val="000000"/>
          <w:sz w:val="12"/>
        </w:rPr>
      </w:pPr>
      <w:r>
        <w:rPr>
          <w:color w:val="000000"/>
          <w:sz w:val="12"/>
        </w:rPr>
        <w:t xml:space="preserve">(1) </w:t>
      </w:r>
      <w:r w:rsidR="00CE60A2" w:rsidRPr="00CE60A2">
        <w:rPr>
          <w:color w:val="000000"/>
          <w:sz w:val="12"/>
        </w:rPr>
        <w:t>Отнася се до кода в приложение VI към регламентите за ФУМИ, ИУГВП и ФВС</w:t>
      </w:r>
      <w:r>
        <w:rPr>
          <w:color w:val="000000"/>
          <w:sz w:val="12"/>
        </w:rPr>
        <w:t>.</w:t>
      </w:r>
    </w:p>
    <w:p w14:paraId="390C7586" w14:textId="77777777" w:rsidR="00A77B3E" w:rsidRDefault="00E62050">
      <w:pPr>
        <w:spacing w:before="100"/>
        <w:rPr>
          <w:color w:val="000000"/>
          <w:sz w:val="12"/>
        </w:rPr>
      </w:pPr>
      <w:r>
        <w:rPr>
          <w:color w:val="000000"/>
          <w:sz w:val="12"/>
        </w:rPr>
        <w:t xml:space="preserve">(2) </w:t>
      </w:r>
      <w:r w:rsidR="00CE60A2" w:rsidRPr="00CE60A2">
        <w:rPr>
          <w:color w:val="000000"/>
          <w:sz w:val="12"/>
        </w:rPr>
        <w:t>Отнася се до кода на общия показател, ако е приложимо</w:t>
      </w:r>
      <w:r>
        <w:rPr>
          <w:color w:val="000000"/>
          <w:sz w:val="12"/>
        </w:rPr>
        <w:t>.</w:t>
      </w:r>
    </w:p>
    <w:p w14:paraId="521884E7" w14:textId="77777777" w:rsidR="00A77B3E" w:rsidRDefault="00A77B3E">
      <w:pPr>
        <w:spacing w:before="100"/>
        <w:rPr>
          <w:color w:val="000000"/>
          <w:sz w:val="12"/>
        </w:rPr>
        <w:sectPr w:rsidR="00A77B3E">
          <w:headerReference w:type="even" r:id="rId100"/>
          <w:headerReference w:type="default" r:id="rId101"/>
          <w:footerReference w:type="even" r:id="rId102"/>
          <w:footerReference w:type="default" r:id="rId103"/>
          <w:headerReference w:type="first" r:id="rId104"/>
          <w:footerReference w:type="first" r:id="rId105"/>
          <w:pgSz w:w="16838" w:h="11906" w:orient="landscape"/>
          <w:pgMar w:top="720" w:right="720" w:bottom="864" w:left="936" w:header="288" w:footer="72" w:gutter="0"/>
          <w:cols w:space="720"/>
          <w:noEndnote/>
          <w:docGrid w:linePitch="360"/>
        </w:sectPr>
      </w:pPr>
    </w:p>
    <w:p w14:paraId="11AF65B1" w14:textId="77777777" w:rsidR="00A77B3E" w:rsidRDefault="00E62050">
      <w:pPr>
        <w:pStyle w:val="Heading2"/>
        <w:spacing w:before="100" w:after="0"/>
        <w:rPr>
          <w:rFonts w:ascii="Times New Roman" w:hAnsi="Times New Roman" w:cs="Times New Roman"/>
          <w:b w:val="0"/>
          <w:i w:val="0"/>
          <w:color w:val="000000"/>
          <w:sz w:val="24"/>
        </w:rPr>
      </w:pPr>
      <w:bookmarkStart w:id="55" w:name="_Toc129599327"/>
      <w:r>
        <w:rPr>
          <w:rFonts w:ascii="Times New Roman" w:hAnsi="Times New Roman" w:cs="Times New Roman"/>
          <w:b w:val="0"/>
          <w:i w:val="0"/>
          <w:color w:val="000000"/>
          <w:sz w:val="24"/>
        </w:rPr>
        <w:lastRenderedPageBreak/>
        <w:t xml:space="preserve">B. </w:t>
      </w:r>
      <w:r w:rsidR="00CD2606" w:rsidRPr="00CD2606">
        <w:rPr>
          <w:rFonts w:ascii="Times New Roman" w:hAnsi="Times New Roman" w:cs="Times New Roman"/>
          <w:b w:val="0"/>
          <w:i w:val="0"/>
          <w:color w:val="000000"/>
          <w:sz w:val="24"/>
        </w:rPr>
        <w:t>Подробности по видове операции</w:t>
      </w:r>
      <w:bookmarkEnd w:id="55"/>
    </w:p>
    <w:p w14:paraId="04D28409" w14:textId="77777777" w:rsidR="00A77B3E" w:rsidRDefault="00A77B3E">
      <w:pPr>
        <w:spacing w:before="100"/>
        <w:rPr>
          <w:color w:val="000000"/>
        </w:rPr>
        <w:sectPr w:rsidR="00A77B3E">
          <w:headerReference w:type="even" r:id="rId106"/>
          <w:headerReference w:type="default" r:id="rId107"/>
          <w:footerReference w:type="even" r:id="rId108"/>
          <w:footerReference w:type="default" r:id="rId109"/>
          <w:headerReference w:type="first" r:id="rId110"/>
          <w:footerReference w:type="first" r:id="rId111"/>
          <w:pgSz w:w="11906" w:h="16838"/>
          <w:pgMar w:top="720" w:right="936" w:bottom="864" w:left="720" w:header="0" w:footer="72" w:gutter="0"/>
          <w:cols w:space="720"/>
          <w:noEndnote/>
          <w:docGrid w:linePitch="360"/>
        </w:sectPr>
      </w:pPr>
    </w:p>
    <w:p w14:paraId="1B1FEE64" w14:textId="77777777" w:rsidR="00A77B3E" w:rsidRDefault="00CD2606">
      <w:pPr>
        <w:pStyle w:val="Heading1"/>
        <w:spacing w:before="100" w:after="0"/>
        <w:rPr>
          <w:rFonts w:ascii="Times New Roman" w:hAnsi="Times New Roman" w:cs="Times New Roman"/>
          <w:b w:val="0"/>
          <w:color w:val="000000"/>
          <w:sz w:val="24"/>
        </w:rPr>
      </w:pPr>
      <w:bookmarkStart w:id="56" w:name="_Toc129599328"/>
      <w:r w:rsidRPr="00CD2606">
        <w:rPr>
          <w:rFonts w:ascii="Times New Roman" w:hAnsi="Times New Roman" w:cs="Times New Roman"/>
          <w:b w:val="0"/>
          <w:color w:val="000000"/>
          <w:sz w:val="24"/>
        </w:rPr>
        <w:lastRenderedPageBreak/>
        <w:t xml:space="preserve">Допълнение </w:t>
      </w:r>
      <w:r w:rsidR="00E62050">
        <w:rPr>
          <w:rFonts w:ascii="Times New Roman" w:hAnsi="Times New Roman" w:cs="Times New Roman"/>
          <w:b w:val="0"/>
          <w:color w:val="000000"/>
          <w:sz w:val="24"/>
        </w:rPr>
        <w:t>3</w:t>
      </w:r>
      <w:bookmarkEnd w:id="56"/>
    </w:p>
    <w:p w14:paraId="330930BF" w14:textId="77777777" w:rsidR="00A77B3E" w:rsidRDefault="00CD2606" w:rsidP="00177F4B">
      <w:pPr>
        <w:pStyle w:val="Heading2"/>
        <w:spacing w:before="100" w:after="0"/>
        <w:rPr>
          <w:color w:val="000000"/>
          <w:sz w:val="12"/>
        </w:rPr>
      </w:pPr>
      <w:bookmarkStart w:id="57" w:name="_Toc129599329"/>
      <w:r w:rsidRPr="00CD2606">
        <w:rPr>
          <w:rFonts w:ascii="Times New Roman" w:hAnsi="Times New Roman" w:cs="Times New Roman"/>
          <w:b w:val="0"/>
          <w:i w:val="0"/>
          <w:color w:val="000000"/>
          <w:sz w:val="24"/>
        </w:rPr>
        <w:t>Тематичен механизъм</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3383"/>
        <w:gridCol w:w="1288"/>
        <w:gridCol w:w="3568"/>
        <w:gridCol w:w="1829"/>
      </w:tblGrid>
      <w:tr w:rsidR="00CD2606" w14:paraId="52BBAC5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9FCEA1" w14:textId="77777777" w:rsidR="00A77B3E" w:rsidRDefault="00CD2606" w:rsidP="00CD2606">
            <w:pPr>
              <w:spacing w:before="100"/>
              <w:rPr>
                <w:color w:val="000000"/>
                <w:sz w:val="16"/>
              </w:rPr>
            </w:pPr>
            <w:r w:rsidRPr="00CD2606">
              <w:rPr>
                <w:color w:val="000000"/>
                <w:sz w:val="16"/>
              </w:rPr>
              <w:t>Референтен ном</w:t>
            </w:r>
            <w:r>
              <w:rPr>
                <w:color w:val="000000"/>
                <w:sz w:val="16"/>
                <w:lang w:val="bg-BG"/>
              </w:rPr>
              <w:t>е</w:t>
            </w:r>
            <w:r w:rsidRPr="00CD2606">
              <w:rPr>
                <w:color w:val="000000"/>
                <w:sz w:val="16"/>
              </w:rPr>
              <w:t>р</w:t>
            </w:r>
            <w:r>
              <w:rPr>
                <w:color w:val="000000"/>
                <w:sz w:val="16"/>
                <w:lang w:val="bg-BG"/>
              </w:rPr>
              <w:t xml:space="preserve"> </w:t>
            </w:r>
            <w:r w:rsidRPr="00CD2606">
              <w:rPr>
                <w:color w:val="000000"/>
                <w:sz w:val="16"/>
              </w:rPr>
              <w:t>на процедурата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C6B5A7" w14:textId="77777777" w:rsidR="00A77B3E" w:rsidRPr="00CD2606" w:rsidRDefault="00CD2606">
            <w:pPr>
              <w:spacing w:before="100"/>
              <w:rPr>
                <w:color w:val="000000"/>
                <w:sz w:val="16"/>
                <w:lang w:val="bg-BG"/>
              </w:rPr>
            </w:pPr>
            <w:r>
              <w:rPr>
                <w:color w:val="000000"/>
                <w:sz w:val="16"/>
                <w:lang w:val="bg-BG"/>
              </w:rPr>
              <w:t>Версия на програмата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3A63B" w14:textId="77777777" w:rsidR="00A77B3E" w:rsidRPr="00CD2606" w:rsidRDefault="00CD2606">
            <w:pPr>
              <w:spacing w:before="100"/>
              <w:rPr>
                <w:color w:val="000000"/>
                <w:sz w:val="16"/>
                <w:lang w:val="bg-BG"/>
              </w:rPr>
            </w:pPr>
            <w:r>
              <w:rPr>
                <w:color w:val="000000"/>
                <w:sz w:val="16"/>
                <w:lang w:val="bg-BG"/>
              </w:rPr>
              <w:t>Статус</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7CF8C1" w14:textId="77777777" w:rsidR="00A77B3E" w:rsidRDefault="00CD2606">
            <w:pPr>
              <w:spacing w:before="100"/>
              <w:rPr>
                <w:color w:val="000000"/>
                <w:sz w:val="16"/>
              </w:rPr>
            </w:pPr>
            <w:r w:rsidRPr="00CD2606">
              <w:rPr>
                <w:color w:val="000000"/>
                <w:sz w:val="16"/>
              </w:rPr>
              <w:t>Дата на приемане/отказ</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5FDD5B" w14:textId="77777777" w:rsidR="00A77B3E" w:rsidRPr="00CD2606" w:rsidRDefault="00CD2606">
            <w:pPr>
              <w:spacing w:before="100"/>
              <w:rPr>
                <w:color w:val="000000"/>
                <w:sz w:val="16"/>
                <w:lang w:val="bg-BG"/>
              </w:rPr>
            </w:pPr>
            <w:r>
              <w:rPr>
                <w:color w:val="000000"/>
                <w:sz w:val="16"/>
                <w:lang w:val="bg-BG"/>
              </w:rPr>
              <w:t>Коментари</w:t>
            </w:r>
          </w:p>
        </w:tc>
      </w:tr>
      <w:tr w:rsidR="00CD2606" w14:paraId="76CE470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CFA655" w14:textId="77777777" w:rsidR="00A77B3E" w:rsidRDefault="00E62050">
            <w:pPr>
              <w:spacing w:before="100"/>
              <w:rPr>
                <w:color w:val="000000"/>
                <w:sz w:val="16"/>
              </w:rPr>
            </w:pPr>
            <w:r>
              <w:rPr>
                <w:color w:val="000000"/>
                <w:sz w:val="16"/>
              </w:rPr>
              <w:t>C(2021)8460 - 26 Nov 2021 - 1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2CAFBF" w14:textId="77777777" w:rsidR="00A77B3E" w:rsidRDefault="00E62050">
            <w:pPr>
              <w:spacing w:before="100"/>
              <w:rPr>
                <w:color w:val="000000"/>
                <w:sz w:val="16"/>
              </w:rPr>
            </w:pPr>
            <w:r>
              <w:rPr>
                <w:color w:val="000000"/>
                <w:sz w:val="1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5EF3F3" w14:textId="77777777" w:rsidR="00A77B3E" w:rsidRPr="00CD2606" w:rsidRDefault="00CD2606">
            <w:pPr>
              <w:spacing w:before="100"/>
              <w:rPr>
                <w:color w:val="000000"/>
                <w:sz w:val="16"/>
                <w:lang w:val="bg-BG"/>
              </w:rPr>
            </w:pPr>
            <w:r>
              <w:rPr>
                <w:color w:val="000000"/>
                <w:sz w:val="16"/>
                <w:lang w:val="bg-BG"/>
              </w:rPr>
              <w:t>Приета</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C188A5" w14:textId="77777777" w:rsidR="00A77B3E" w:rsidRDefault="00E62050" w:rsidP="00CD2606">
            <w:pPr>
              <w:spacing w:before="100"/>
              <w:rPr>
                <w:color w:val="000000"/>
                <w:sz w:val="16"/>
              </w:rPr>
            </w:pPr>
            <w:r>
              <w:rPr>
                <w:color w:val="000000"/>
                <w:sz w:val="16"/>
              </w:rPr>
              <w:t xml:space="preserve">19 </w:t>
            </w:r>
            <w:r w:rsidR="00CD2606">
              <w:rPr>
                <w:color w:val="000000"/>
                <w:sz w:val="16"/>
                <w:lang w:val="bg-BG"/>
              </w:rPr>
              <w:t>септември</w:t>
            </w:r>
            <w:r>
              <w:rPr>
                <w:color w:val="000000"/>
                <w:sz w:val="16"/>
              </w:rPr>
              <w:t xml:space="preserve"> 2022</w:t>
            </w:r>
            <w:r w:rsidR="00CD2606">
              <w:rPr>
                <w:color w:val="000000"/>
                <w:sz w:val="16"/>
                <w:lang w:val="bg-BG"/>
              </w:rPr>
              <w:t xml:space="preserve"> г.</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A3F3D6" w14:textId="77777777" w:rsidR="00A77B3E" w:rsidRDefault="00A77B3E">
            <w:pPr>
              <w:spacing w:before="100"/>
              <w:rPr>
                <w:color w:val="000000"/>
                <w:sz w:val="16"/>
              </w:rPr>
            </w:pPr>
          </w:p>
        </w:tc>
      </w:tr>
      <w:tr w:rsidR="002F6D49" w14:paraId="64FCD403" w14:textId="77777777">
        <w:tc>
          <w:tcPr>
            <w:tcW w:w="0" w:type="auto"/>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880C7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128"/>
              <w:gridCol w:w="1056"/>
              <w:gridCol w:w="1245"/>
              <w:gridCol w:w="1365"/>
              <w:gridCol w:w="7988"/>
            </w:tblGrid>
            <w:tr w:rsidR="00CD2606" w14:paraId="3AA56B4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543117" w14:textId="77777777" w:rsidR="00A77B3E" w:rsidRPr="00CD2606" w:rsidRDefault="00CD2606">
                  <w:pPr>
                    <w:spacing w:before="100"/>
                    <w:jc w:val="center"/>
                    <w:rPr>
                      <w:color w:val="000000"/>
                      <w:sz w:val="16"/>
                      <w:lang w:val="bg-BG"/>
                    </w:rPr>
                  </w:pPr>
                  <w:r>
                    <w:rPr>
                      <w:color w:val="000000"/>
                      <w:sz w:val="16"/>
                      <w:lang w:val="bg-BG"/>
                    </w:rPr>
                    <w:t>Специфична цел</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EC07BC" w14:textId="77777777" w:rsidR="00A77B3E" w:rsidRPr="00CD2606" w:rsidRDefault="00CD2606">
                  <w:pPr>
                    <w:spacing w:before="100"/>
                    <w:jc w:val="center"/>
                    <w:rPr>
                      <w:color w:val="000000"/>
                      <w:sz w:val="16"/>
                      <w:lang w:val="bg-BG"/>
                    </w:rPr>
                  </w:pPr>
                  <w:r>
                    <w:rPr>
                      <w:color w:val="000000"/>
                      <w:sz w:val="16"/>
                      <w:lang w:val="bg-BG"/>
                    </w:rPr>
                    <w:t>Модалност</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F1A2F8" w14:textId="77777777" w:rsidR="00A77B3E" w:rsidRDefault="00CD2606">
                  <w:pPr>
                    <w:spacing w:before="100"/>
                    <w:jc w:val="center"/>
                    <w:rPr>
                      <w:color w:val="000000"/>
                      <w:sz w:val="16"/>
                    </w:rPr>
                  </w:pPr>
                  <w:r w:rsidRPr="00CD2606">
                    <w:rPr>
                      <w:color w:val="000000"/>
                      <w:sz w:val="16"/>
                    </w:rPr>
                    <w:t>Вид интервенция</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05DEAF" w14:textId="77777777" w:rsidR="00A77B3E" w:rsidRDefault="00CD2606" w:rsidP="00CD2606">
                  <w:pPr>
                    <w:spacing w:before="100"/>
                    <w:jc w:val="center"/>
                    <w:rPr>
                      <w:color w:val="000000"/>
                      <w:sz w:val="16"/>
                    </w:rPr>
                  </w:pPr>
                  <w:r w:rsidRPr="00CD2606">
                    <w:rPr>
                      <w:color w:val="000000"/>
                      <w:sz w:val="16"/>
                    </w:rPr>
                    <w:t>Финансово участие</w:t>
                  </w:r>
                  <w:r>
                    <w:rPr>
                      <w:color w:val="000000"/>
                      <w:sz w:val="16"/>
                      <w:lang w:val="bg-BG"/>
                    </w:rPr>
                    <w:t xml:space="preserve"> </w:t>
                  </w:r>
                  <w:r w:rsidRPr="00CD2606">
                    <w:rPr>
                      <w:color w:val="000000"/>
                      <w:sz w:val="16"/>
                    </w:rPr>
                    <w:t>на Съюза (EUR)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3CAA35" w14:textId="77777777" w:rsidR="00A77B3E" w:rsidRDefault="00CD2606" w:rsidP="00CD2606">
                  <w:pPr>
                    <w:spacing w:before="100"/>
                    <w:jc w:val="center"/>
                    <w:rPr>
                      <w:color w:val="000000"/>
                      <w:sz w:val="16"/>
                    </w:rPr>
                  </w:pPr>
                  <w:r w:rsidRPr="00CD2606">
                    <w:rPr>
                      <w:color w:val="000000"/>
                      <w:sz w:val="16"/>
                    </w:rPr>
                    <w:t>Предварително</w:t>
                  </w:r>
                  <w:r>
                    <w:rPr>
                      <w:color w:val="000000"/>
                      <w:sz w:val="16"/>
                      <w:lang w:val="bg-BG"/>
                    </w:rPr>
                    <w:t xml:space="preserve"> </w:t>
                  </w:r>
                  <w:r w:rsidRPr="00CD2606">
                    <w:rPr>
                      <w:color w:val="000000"/>
                      <w:sz w:val="16"/>
                    </w:rPr>
                    <w:t>финансиране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5A636F" w14:textId="77777777" w:rsidR="00A77B3E" w:rsidRPr="00CD2606" w:rsidRDefault="00CD2606">
                  <w:pPr>
                    <w:spacing w:before="100"/>
                    <w:jc w:val="center"/>
                    <w:rPr>
                      <w:color w:val="000000"/>
                      <w:sz w:val="16"/>
                      <w:lang w:val="bg-BG"/>
                    </w:rPr>
                  </w:pPr>
                  <w:r>
                    <w:rPr>
                      <w:color w:val="000000"/>
                      <w:sz w:val="16"/>
                      <w:lang w:val="bg-BG"/>
                    </w:rPr>
                    <w:t>Описание на действието</w:t>
                  </w:r>
                </w:p>
              </w:tc>
            </w:tr>
            <w:tr w:rsidR="00CD2606" w14:paraId="49B0E36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121181" w14:textId="77777777" w:rsidR="00A77B3E" w:rsidRPr="00CD2606" w:rsidRDefault="00E62050" w:rsidP="00CD2606">
                  <w:pPr>
                    <w:spacing w:before="100"/>
                    <w:rPr>
                      <w:color w:val="000000"/>
                      <w:sz w:val="16"/>
                      <w:lang w:val="bg-BG"/>
                    </w:rPr>
                  </w:pPr>
                  <w:r>
                    <w:rPr>
                      <w:color w:val="000000"/>
                      <w:sz w:val="16"/>
                    </w:rPr>
                    <w:t xml:space="preserve">2. </w:t>
                  </w:r>
                  <w:r w:rsidR="00CD2606">
                    <w:rPr>
                      <w:color w:val="000000"/>
                      <w:sz w:val="16"/>
                      <w:lang w:val="bg-BG"/>
                    </w:rPr>
                    <w:t>Трансгранично сътрудничество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68C56" w14:textId="77777777" w:rsidR="00A77B3E" w:rsidRPr="00CD2606" w:rsidRDefault="00CD2606">
                  <w:pPr>
                    <w:spacing w:before="100"/>
                    <w:rPr>
                      <w:color w:val="000000"/>
                      <w:sz w:val="16"/>
                      <w:lang w:val="bg-BG"/>
                    </w:rPr>
                  </w:pPr>
                  <w:r>
                    <w:rPr>
                      <w:color w:val="000000"/>
                      <w:sz w:val="16"/>
                      <w:lang w:val="bg-BG"/>
                    </w:rPr>
                    <w:t>Специфично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B26621" w14:textId="77777777" w:rsidR="00A77B3E" w:rsidRDefault="00E62050">
                  <w:pPr>
                    <w:spacing w:before="100"/>
                    <w:rPr>
                      <w:color w:val="000000"/>
                      <w:sz w:val="16"/>
                    </w:rPr>
                  </w:pPr>
                  <w:r>
                    <w:rPr>
                      <w:color w:val="000000"/>
                      <w:sz w:val="1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04E43E" w14:textId="77777777" w:rsidR="00A77B3E" w:rsidRDefault="00E62050" w:rsidP="00CD2606">
                  <w:pPr>
                    <w:spacing w:before="100"/>
                    <w:jc w:val="right"/>
                    <w:rPr>
                      <w:color w:val="000000"/>
                      <w:sz w:val="16"/>
                    </w:rPr>
                  </w:pPr>
                  <w:r>
                    <w:rPr>
                      <w:color w:val="000000"/>
                      <w:sz w:val="16"/>
                    </w:rPr>
                    <w:t>54</w:t>
                  </w:r>
                  <w:r w:rsidR="00CD2606">
                    <w:rPr>
                      <w:color w:val="000000"/>
                      <w:sz w:val="16"/>
                      <w:lang w:val="bg-BG"/>
                    </w:rPr>
                    <w:t> </w:t>
                  </w:r>
                  <w:r>
                    <w:rPr>
                      <w:color w:val="000000"/>
                      <w:sz w:val="16"/>
                    </w:rPr>
                    <w:t>000</w:t>
                  </w:r>
                  <w:r w:rsidR="00CD2606">
                    <w:rPr>
                      <w:color w:val="000000"/>
                      <w:sz w:val="16"/>
                      <w:lang w:val="bg-BG"/>
                    </w:rPr>
                    <w:t>,</w:t>
                  </w:r>
                  <w:r>
                    <w:rPr>
                      <w:color w:val="000000"/>
                      <w:sz w:val="16"/>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B4F9B6"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DC9722" w14:textId="77777777" w:rsidR="00A77B3E" w:rsidRDefault="00E62050">
                  <w:pPr>
                    <w:spacing w:before="100"/>
                    <w:rPr>
                      <w:color w:val="000000"/>
                      <w:sz w:val="16"/>
                    </w:rPr>
                  </w:pPr>
                  <w:r>
                    <w:rPr>
                      <w:color w:val="000000"/>
                      <w:sz w:val="16"/>
                    </w:rPr>
                    <w:t xml:space="preserve">ISF/2022/SA/2.2.1/012 EMPACT </w:t>
                  </w:r>
                  <w:r w:rsidR="003D7373">
                    <w:rPr>
                      <w:color w:val="000000"/>
                      <w:sz w:val="16"/>
                    </w:rPr>
                    <w:t>54 </w:t>
                  </w:r>
                  <w:r>
                    <w:rPr>
                      <w:color w:val="000000"/>
                      <w:sz w:val="16"/>
                    </w:rPr>
                    <w:t>000</w:t>
                  </w:r>
                  <w:r w:rsidR="003D7373">
                    <w:rPr>
                      <w:color w:val="000000"/>
                      <w:sz w:val="16"/>
                    </w:rPr>
                    <w:t>,</w:t>
                  </w:r>
                  <w:r>
                    <w:rPr>
                      <w:color w:val="000000"/>
                      <w:sz w:val="16"/>
                    </w:rPr>
                    <w:t>00</w:t>
                  </w:r>
                  <w:r w:rsidR="003D7373">
                    <w:rPr>
                      <w:color w:val="000000"/>
                      <w:sz w:val="16"/>
                    </w:rPr>
                    <w:t xml:space="preserve"> </w:t>
                  </w:r>
                  <w:r w:rsidR="003D7373">
                    <w:rPr>
                      <w:color w:val="000000"/>
                      <w:sz w:val="16"/>
                      <w:lang w:val="bg-BG"/>
                    </w:rPr>
                    <w:t>евро</w:t>
                  </w:r>
                </w:p>
                <w:p w14:paraId="3D9EA8ED" w14:textId="77777777" w:rsidR="003D7373" w:rsidRPr="003D7373" w:rsidRDefault="003D7373" w:rsidP="003D7373">
                  <w:pPr>
                    <w:spacing w:before="100"/>
                    <w:rPr>
                      <w:color w:val="000000"/>
                      <w:sz w:val="16"/>
                    </w:rPr>
                  </w:pPr>
                  <w:r w:rsidRPr="003D7373">
                    <w:rPr>
                      <w:color w:val="000000"/>
                      <w:sz w:val="16"/>
                    </w:rPr>
                    <w:t>Целта на това специфично действие е да се разработят комплексни и дългосрочни дейности и действия по EMPACT, заложени в оперативните планове за действие (ОПД) и изпълняващи една или повече общи хоризонтални стратегически цели, съдържащи се в многого</w:t>
                  </w:r>
                  <w:r>
                    <w:rPr>
                      <w:color w:val="000000"/>
                      <w:sz w:val="16"/>
                    </w:rPr>
                    <w:t xml:space="preserve">дишния стратегически план </w:t>
                  </w:r>
                  <w:r w:rsidRPr="003D7373">
                    <w:rPr>
                      <w:color w:val="000000"/>
                      <w:sz w:val="16"/>
                    </w:rPr>
                    <w:t xml:space="preserve">на EMPACT, разработен за цикъла на EMPACT 2022-2025 г. (справка: Документ на Съвета 10109/21 от 23 юни 2021 г. (EU LIMITE). </w:t>
                  </w:r>
                </w:p>
                <w:p w14:paraId="0AC36112" w14:textId="77777777" w:rsidR="003D7373" w:rsidRPr="003D7373" w:rsidRDefault="003D7373" w:rsidP="003D7373">
                  <w:pPr>
                    <w:spacing w:before="100"/>
                    <w:rPr>
                      <w:color w:val="000000"/>
                      <w:sz w:val="16"/>
                    </w:rPr>
                  </w:pPr>
                  <w:r w:rsidRPr="003D7373">
                    <w:rPr>
                      <w:color w:val="000000"/>
                      <w:sz w:val="16"/>
                    </w:rPr>
                    <w:t>Испания изпълнява проекта CCH - ЕВРОПЕЙСКИ ОПЕРАТИВЕН ЕКИП Коста дел Сол, свързан главно с EMPACT CCH (канабис / кокаин / хероин), но също и с EMPACT HRCN (високорискови престъпни мрежи), обхващащ стратегически цели № 1, 2, 3, 4 и 8.</w:t>
                  </w:r>
                </w:p>
                <w:p w14:paraId="046FA245" w14:textId="77777777" w:rsidR="00A77B3E" w:rsidRDefault="003D7373" w:rsidP="003D7373">
                  <w:pPr>
                    <w:spacing w:before="100"/>
                    <w:rPr>
                      <w:color w:val="000000"/>
                      <w:sz w:val="16"/>
                    </w:rPr>
                  </w:pPr>
                  <w:r w:rsidRPr="003D7373">
                    <w:rPr>
                      <w:color w:val="000000"/>
                      <w:sz w:val="16"/>
                    </w:rPr>
                    <w:t>Партньорството по проекта се състои от Испания, България, Естония, Финландия, Франция, Нидерландия, Литва, Латвия, Полша, Португалия, Румъния, Швеция, Словения, Дания, Исландия, Норвегия, Сърбия, Обединеното кралство, САЩ, Frontex и Европол. Пилотният проект има за цел да създаде европейски оперативен</w:t>
                  </w:r>
                  <w:r>
                    <w:rPr>
                      <w:color w:val="000000"/>
                      <w:sz w:val="16"/>
                    </w:rPr>
                    <w:t xml:space="preserve"> екип (ЕОТ) в испанския регион </w:t>
                  </w:r>
                  <w:r w:rsidRPr="003D7373">
                    <w:rPr>
                      <w:color w:val="000000"/>
                      <w:sz w:val="16"/>
                    </w:rPr>
                    <w:t xml:space="preserve">Коста дел Сол, който да разработи и приложи съвместна стратегия за разследване и оперативна дейност срещу основните престъпни организации и свързаните с тях High Value Targets (HVTs), засягащи държавите членки на ЕС от региона. Дейността на EOT ще бъде насочена главно към идентифициране, разследване и разбиване на HVT и свързаните с тях организирани престъпни мрежи. Подборът на </w:t>
                  </w:r>
                  <w:r>
                    <w:rPr>
                      <w:color w:val="000000"/>
                      <w:sz w:val="16"/>
                    </w:rPr>
                    <w:t>HVT</w:t>
                  </w:r>
                  <w:r w:rsidRPr="003D7373">
                    <w:rPr>
                      <w:color w:val="000000"/>
                      <w:sz w:val="16"/>
                    </w:rPr>
                    <w:t xml:space="preserve"> и създаването на съотве</w:t>
                  </w:r>
                  <w:r>
                    <w:rPr>
                      <w:color w:val="000000"/>
                      <w:sz w:val="16"/>
                    </w:rPr>
                    <w:t>тната оперативна работна група</w:t>
                  </w:r>
                  <w:r w:rsidRPr="003D7373">
                    <w:rPr>
                      <w:color w:val="000000"/>
                      <w:sz w:val="16"/>
                    </w:rPr>
                    <w:t xml:space="preserve"> ще се извършва в съответствие със стандартна оперативна процедура, разработена съвместно от държавите-членки на ЕС и Европол</w:t>
                  </w:r>
                  <w:r w:rsidR="00E62050">
                    <w:rPr>
                      <w:color w:val="000000"/>
                      <w:sz w:val="16"/>
                    </w:rPr>
                    <w:t>.</w:t>
                  </w:r>
                </w:p>
              </w:tc>
            </w:tr>
            <w:tr w:rsidR="00CD2606" w:rsidRPr="00805365" w14:paraId="47D4C99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115C1C" w14:textId="77777777" w:rsidR="00A77B3E" w:rsidRDefault="00E62050">
                  <w:pPr>
                    <w:spacing w:before="100"/>
                    <w:rPr>
                      <w:color w:val="000000"/>
                      <w:sz w:val="16"/>
                    </w:rPr>
                  </w:pPr>
                  <w:r>
                    <w:rPr>
                      <w:color w:val="000000"/>
                      <w:sz w:val="16"/>
                    </w:rPr>
                    <w:t xml:space="preserve">3. </w:t>
                  </w:r>
                  <w:r w:rsidR="00CD2606">
                    <w:rPr>
                      <w:color w:val="000000"/>
                      <w:sz w:val="16"/>
                      <w:lang w:val="bg-BG"/>
                    </w:rPr>
                    <w:t>Пре</w:t>
                  </w:r>
                  <w:r w:rsidR="00CD2606" w:rsidRPr="00CD2606">
                    <w:rPr>
                      <w:color w:val="000000"/>
                      <w:sz w:val="16"/>
                    </w:rPr>
                    <w:t>дотвратяване и борба с престъпност</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0768A7" w14:textId="77777777" w:rsidR="00A77B3E" w:rsidRDefault="00CD2606">
                  <w:pPr>
                    <w:spacing w:before="100"/>
                    <w:rPr>
                      <w:color w:val="000000"/>
                      <w:sz w:val="16"/>
                    </w:rPr>
                  </w:pPr>
                  <w:r>
                    <w:rPr>
                      <w:color w:val="000000"/>
                      <w:sz w:val="16"/>
                      <w:lang w:val="bg-BG"/>
                    </w:rPr>
                    <w:t>Специфично действие</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469746" w14:textId="77777777" w:rsidR="00A77B3E" w:rsidRDefault="00E62050">
                  <w:pPr>
                    <w:spacing w:before="100"/>
                    <w:rPr>
                      <w:color w:val="000000"/>
                      <w:sz w:val="16"/>
                    </w:rPr>
                  </w:pPr>
                  <w:r>
                    <w:rPr>
                      <w:color w:val="000000"/>
                      <w:sz w:val="1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2632A4" w14:textId="77777777" w:rsidR="00A77B3E" w:rsidRDefault="00E62050" w:rsidP="00CD2606">
                  <w:pPr>
                    <w:spacing w:before="100"/>
                    <w:jc w:val="right"/>
                    <w:rPr>
                      <w:color w:val="000000"/>
                      <w:sz w:val="16"/>
                    </w:rPr>
                  </w:pPr>
                  <w:r>
                    <w:rPr>
                      <w:color w:val="000000"/>
                      <w:sz w:val="16"/>
                    </w:rPr>
                    <w:t>81</w:t>
                  </w:r>
                  <w:r w:rsidR="00CD2606">
                    <w:rPr>
                      <w:color w:val="000000"/>
                      <w:sz w:val="16"/>
                      <w:lang w:val="bg-BG"/>
                    </w:rPr>
                    <w:t> </w:t>
                  </w:r>
                  <w:r>
                    <w:rPr>
                      <w:color w:val="000000"/>
                      <w:sz w:val="16"/>
                    </w:rPr>
                    <w:t>161</w:t>
                  </w:r>
                  <w:r w:rsidR="00CD2606">
                    <w:rPr>
                      <w:color w:val="000000"/>
                      <w:sz w:val="16"/>
                      <w:lang w:val="bg-BG"/>
                    </w:rPr>
                    <w:t>,</w:t>
                  </w:r>
                  <w:r>
                    <w:rPr>
                      <w:color w:val="000000"/>
                      <w:sz w:val="16"/>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71B217"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CA0793" w14:textId="77777777" w:rsidR="003D7373" w:rsidRDefault="00E62050">
                  <w:pPr>
                    <w:spacing w:before="100"/>
                    <w:rPr>
                      <w:color w:val="000000"/>
                      <w:sz w:val="16"/>
                    </w:rPr>
                  </w:pPr>
                  <w:r>
                    <w:rPr>
                      <w:color w:val="000000"/>
                      <w:sz w:val="16"/>
                    </w:rPr>
                    <w:t>ISF/2022/SA/3.3.1/001 THB 81</w:t>
                  </w:r>
                  <w:r w:rsidR="003D7373">
                    <w:rPr>
                      <w:color w:val="000000"/>
                      <w:sz w:val="16"/>
                      <w:lang w:val="bg-BG"/>
                    </w:rPr>
                    <w:t> </w:t>
                  </w:r>
                  <w:r>
                    <w:rPr>
                      <w:color w:val="000000"/>
                      <w:sz w:val="16"/>
                    </w:rPr>
                    <w:t>161</w:t>
                  </w:r>
                  <w:r w:rsidR="003D7373">
                    <w:rPr>
                      <w:color w:val="000000"/>
                      <w:sz w:val="16"/>
                      <w:lang w:val="bg-BG"/>
                    </w:rPr>
                    <w:t>,</w:t>
                  </w:r>
                  <w:r>
                    <w:rPr>
                      <w:color w:val="000000"/>
                      <w:sz w:val="16"/>
                    </w:rPr>
                    <w:t>73</w:t>
                  </w:r>
                  <w:r w:rsidR="003D7373">
                    <w:rPr>
                      <w:color w:val="000000"/>
                      <w:sz w:val="16"/>
                      <w:lang w:val="bg-BG"/>
                    </w:rPr>
                    <w:t xml:space="preserve"> евро</w:t>
                  </w:r>
                </w:p>
                <w:p w14:paraId="1E918FD6" w14:textId="77777777" w:rsidR="004A60D0" w:rsidRDefault="003D7373" w:rsidP="004A60D0">
                  <w:pPr>
                    <w:spacing w:before="100"/>
                    <w:rPr>
                      <w:color w:val="000000"/>
                      <w:sz w:val="16"/>
                      <w:lang w:val="bg-BG"/>
                    </w:rPr>
                  </w:pPr>
                  <w:r w:rsidRPr="003D7373">
                    <w:rPr>
                      <w:color w:val="000000"/>
                      <w:sz w:val="16"/>
                    </w:rPr>
                    <w:t xml:space="preserve">В рамките на изпълнението на Директива 2011/36/ЕС относно предотвратяването и борбата с трафика на хора и защитата на жертвите от него (Директива на ЕС за борба с трафика на хора) и на Стратегията на ЕС за борба с трафика на хора (2021-2025 г.) целта на това конкретно действие е да се предоставят помощ и услуги за подкрепа на жертвите на трафик на хора, които имат гражданство на държава </w:t>
                  </w:r>
                  <w:r w:rsidR="004A60D0">
                    <w:rPr>
                      <w:color w:val="000000"/>
                      <w:sz w:val="16"/>
                    </w:rPr>
                    <w:t>членка на ЕС</w:t>
                  </w:r>
                  <w:r w:rsidRPr="003D7373">
                    <w:rPr>
                      <w:color w:val="000000"/>
                      <w:sz w:val="16"/>
                    </w:rPr>
                    <w:t xml:space="preserve"> или пребивават дългосрочно в една от държавите членки на ЕС, участващи във фонд </w:t>
                  </w:r>
                  <w:r w:rsidR="004A60D0">
                    <w:rPr>
                      <w:color w:val="000000"/>
                      <w:sz w:val="16"/>
                      <w:lang w:val="bg-BG"/>
                    </w:rPr>
                    <w:t>„</w:t>
                  </w:r>
                  <w:r w:rsidR="004A60D0">
                    <w:rPr>
                      <w:color w:val="000000"/>
                      <w:sz w:val="16"/>
                    </w:rPr>
                    <w:t>Вътрешна сигурност</w:t>
                  </w:r>
                  <w:r w:rsidR="004A60D0">
                    <w:rPr>
                      <w:color w:val="000000"/>
                      <w:sz w:val="16"/>
                      <w:lang w:val="bg-BG"/>
                    </w:rPr>
                    <w:t>“</w:t>
                  </w:r>
                  <w:r w:rsidRPr="003D7373">
                    <w:rPr>
                      <w:color w:val="000000"/>
                      <w:sz w:val="16"/>
                    </w:rPr>
                    <w:t>.</w:t>
                  </w:r>
                  <w:r w:rsidR="004A60D0">
                    <w:rPr>
                      <w:color w:val="000000"/>
                      <w:sz w:val="16"/>
                      <w:lang w:val="bg-BG"/>
                    </w:rPr>
                    <w:t xml:space="preserve"> </w:t>
                  </w:r>
                </w:p>
                <w:p w14:paraId="5147BAC4" w14:textId="77777777" w:rsidR="00A77B3E" w:rsidRPr="00FB5D9F" w:rsidRDefault="003D7373" w:rsidP="004A60D0">
                  <w:pPr>
                    <w:spacing w:before="100"/>
                    <w:rPr>
                      <w:color w:val="000000"/>
                      <w:sz w:val="16"/>
                      <w:lang w:val="bg-BG"/>
                    </w:rPr>
                  </w:pPr>
                  <w:r w:rsidRPr="004A60D0">
                    <w:rPr>
                      <w:color w:val="000000"/>
                      <w:sz w:val="16"/>
                      <w:lang w:val="bg-BG"/>
                    </w:rPr>
                    <w:t xml:space="preserve">Гърция изпълнява проекта </w:t>
                  </w:r>
                  <w:r w:rsidR="004A60D0">
                    <w:rPr>
                      <w:color w:val="000000"/>
                      <w:sz w:val="16"/>
                      <w:lang w:val="bg-BG"/>
                    </w:rPr>
                    <w:t>„</w:t>
                  </w:r>
                  <w:r w:rsidRPr="004A60D0">
                    <w:rPr>
                      <w:color w:val="000000"/>
                      <w:sz w:val="16"/>
                      <w:lang w:val="bg-BG"/>
                    </w:rPr>
                    <w:t>Координация на услуги за жертви на трафик на хора в Южните и Източните Балкани</w:t>
                  </w:r>
                  <w:r w:rsidR="004A60D0">
                    <w:rPr>
                      <w:color w:val="000000"/>
                      <w:sz w:val="16"/>
                      <w:lang w:val="bg-BG"/>
                    </w:rPr>
                    <w:t>“</w:t>
                  </w:r>
                  <w:r w:rsidRPr="004A60D0">
                    <w:rPr>
                      <w:color w:val="000000"/>
                      <w:sz w:val="16"/>
                      <w:lang w:val="bg-BG"/>
                    </w:rPr>
                    <w:t xml:space="preserve">. </w:t>
                  </w:r>
                  <w:r w:rsidRPr="00FB5D9F">
                    <w:rPr>
                      <w:color w:val="000000"/>
                      <w:sz w:val="16"/>
                      <w:lang w:val="bg-BG"/>
                    </w:rPr>
                    <w:t>Партньорството включва Гърция и България, а впоследствие и Румъния.</w:t>
                  </w:r>
                  <w:r w:rsidR="004A60D0">
                    <w:rPr>
                      <w:color w:val="000000"/>
                      <w:sz w:val="16"/>
                      <w:lang w:val="bg-BG"/>
                    </w:rPr>
                    <w:t xml:space="preserve"> </w:t>
                  </w:r>
                  <w:r w:rsidRPr="00FB5D9F">
                    <w:rPr>
                      <w:color w:val="000000"/>
                      <w:sz w:val="16"/>
                      <w:lang w:val="bg-BG"/>
                    </w:rPr>
                    <w:t>Проектът има за цел да подобри услугите, предоставяни на жертви на трафик на хора, като укрепи механизма за установяване на местонахождението и оказване на помощ на жертви на трафик от България и Румъния (предимно жени и деца) и подобри механизмите за сътрудничество между органите на страните на произход (България, Румъния) и страната на установяване на местонахождението (Гърция). Тя има за цел също така да разработи протокол за сътрудничество, който да координира техните дейности за подпомагане на (потенциални) жертви на трафик на хора. Тази инициатива се квалифицира като транснационален механизъм за насочване между Гърция, България и евентуално Румъния.</w:t>
                  </w:r>
                </w:p>
              </w:tc>
            </w:tr>
            <w:tr w:rsidR="00CD2606" w14:paraId="1F6364C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479920" w14:textId="77777777" w:rsidR="00A77B3E" w:rsidRPr="00FB5D9F" w:rsidRDefault="00CD2606" w:rsidP="003D7373">
                  <w:pPr>
                    <w:spacing w:before="100"/>
                    <w:rPr>
                      <w:color w:val="000000"/>
                      <w:sz w:val="16"/>
                      <w:lang w:val="bg-BG"/>
                    </w:rPr>
                  </w:pPr>
                  <w:r>
                    <w:rPr>
                      <w:color w:val="000000"/>
                      <w:sz w:val="16"/>
                      <w:lang w:val="bg-BG"/>
                    </w:rPr>
                    <w:t>ТП</w:t>
                  </w:r>
                  <w:r w:rsidR="00E62050" w:rsidRPr="00FB5D9F">
                    <w:rPr>
                      <w:color w:val="000000"/>
                      <w:sz w:val="16"/>
                      <w:lang w:val="bg-BG"/>
                    </w:rPr>
                    <w:t xml:space="preserve">.36(5). </w:t>
                  </w:r>
                  <w:r>
                    <w:rPr>
                      <w:color w:val="000000"/>
                      <w:sz w:val="16"/>
                      <w:lang w:val="bg-BG"/>
                    </w:rPr>
                    <w:t>Техническа помощ</w:t>
                  </w:r>
                  <w:r w:rsidR="00E62050" w:rsidRPr="00FB5D9F">
                    <w:rPr>
                      <w:color w:val="000000"/>
                      <w:sz w:val="16"/>
                      <w:lang w:val="bg-BG"/>
                    </w:rPr>
                    <w:t xml:space="preserve"> - </w:t>
                  </w:r>
                  <w:r w:rsidR="003D7373" w:rsidRPr="00FB5D9F">
                    <w:rPr>
                      <w:color w:val="000000"/>
                      <w:sz w:val="16"/>
                      <w:lang w:val="bg-BG"/>
                    </w:rPr>
                    <w:t>единн</w:t>
                  </w:r>
                  <w:r w:rsidR="003D7373">
                    <w:rPr>
                      <w:color w:val="000000"/>
                      <w:sz w:val="16"/>
                      <w:lang w:val="bg-BG"/>
                    </w:rPr>
                    <w:t>а</w:t>
                  </w:r>
                  <w:r w:rsidR="003D7373" w:rsidRPr="00FB5D9F">
                    <w:rPr>
                      <w:color w:val="000000"/>
                      <w:sz w:val="16"/>
                      <w:lang w:val="bg-BG"/>
                    </w:rPr>
                    <w:t xml:space="preserve"> ставк</w:t>
                  </w:r>
                  <w:r w:rsidR="003D7373">
                    <w:rPr>
                      <w:color w:val="000000"/>
                      <w:sz w:val="16"/>
                      <w:lang w:val="bg-BG"/>
                    </w:rPr>
                    <w:t>а</w:t>
                  </w:r>
                  <w:r w:rsidR="003D7373" w:rsidRPr="00FB5D9F">
                    <w:rPr>
                      <w:color w:val="000000"/>
                      <w:sz w:val="16"/>
                      <w:lang w:val="bg-BG"/>
                    </w:rPr>
                    <w:t xml:space="preserve"> </w:t>
                  </w:r>
                  <w:r w:rsidR="00E62050" w:rsidRPr="00FB5D9F">
                    <w:rPr>
                      <w:color w:val="000000"/>
                      <w:sz w:val="16"/>
                      <w:lang w:val="bg-BG"/>
                    </w:rPr>
                    <w:t>(</w:t>
                  </w:r>
                  <w:r w:rsidR="003D7373" w:rsidRPr="00FB5D9F">
                    <w:rPr>
                      <w:color w:val="000000"/>
                      <w:sz w:val="16"/>
                      <w:lang w:val="bg-BG"/>
                    </w:rPr>
                    <w:t>съгласно</w:t>
                  </w:r>
                  <w:r w:rsidR="003D7373">
                    <w:rPr>
                      <w:color w:val="000000"/>
                      <w:sz w:val="16"/>
                      <w:lang w:val="bg-BG"/>
                    </w:rPr>
                    <w:t xml:space="preserve"> </w:t>
                  </w:r>
                  <w:r w:rsidR="003D7373" w:rsidRPr="00FB5D9F">
                    <w:rPr>
                      <w:color w:val="000000"/>
                      <w:sz w:val="16"/>
                      <w:lang w:val="bg-BG"/>
                    </w:rPr>
                    <w:t>член 36,</w:t>
                  </w:r>
                  <w:r w:rsidR="003D7373">
                    <w:rPr>
                      <w:color w:val="000000"/>
                      <w:sz w:val="16"/>
                      <w:lang w:val="bg-BG"/>
                    </w:rPr>
                    <w:t xml:space="preserve"> </w:t>
                  </w:r>
                  <w:r w:rsidR="003D7373" w:rsidRPr="00FB5D9F">
                    <w:rPr>
                      <w:color w:val="000000"/>
                      <w:sz w:val="16"/>
                      <w:lang w:val="bg-BG"/>
                    </w:rPr>
                    <w:t>параграф 5</w:t>
                  </w:r>
                  <w:r w:rsidR="003D7373">
                    <w:rPr>
                      <w:color w:val="000000"/>
                      <w:sz w:val="16"/>
                      <w:lang w:val="bg-BG"/>
                    </w:rPr>
                    <w:t xml:space="preserve"> </w:t>
                  </w:r>
                  <w:r w:rsidR="003D7373" w:rsidRPr="00FB5D9F">
                    <w:rPr>
                      <w:color w:val="000000"/>
                      <w:sz w:val="16"/>
                      <w:lang w:val="bg-BG"/>
                    </w:rPr>
                    <w:t>от РОР</w:t>
                  </w:r>
                  <w:r w:rsidR="00E62050" w:rsidRPr="00FB5D9F">
                    <w:rPr>
                      <w:color w:val="000000"/>
                      <w:sz w:val="16"/>
                      <w:lang w:val="bg-BG"/>
                    </w:rPr>
                    <w: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CA3B96" w14:textId="77777777" w:rsidR="00A77B3E" w:rsidRPr="00FB5D9F" w:rsidRDefault="00E62050">
                  <w:pPr>
                    <w:spacing w:before="100"/>
                    <w:rPr>
                      <w:color w:val="000000"/>
                      <w:sz w:val="16"/>
                      <w:lang w:val="bg-BG"/>
                    </w:rPr>
                  </w:pPr>
                  <w:r w:rsidRPr="00FB5D9F">
                    <w:rPr>
                      <w:color w:val="000000"/>
                      <w:sz w:val="16"/>
                      <w:lang w:val="bg-BG"/>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5CD6F7" w14:textId="77777777" w:rsidR="00A77B3E" w:rsidRPr="00FB5D9F" w:rsidRDefault="00E62050">
                  <w:pPr>
                    <w:spacing w:before="100"/>
                    <w:rPr>
                      <w:color w:val="000000"/>
                      <w:sz w:val="16"/>
                      <w:lang w:val="bg-BG"/>
                    </w:rPr>
                  </w:pPr>
                  <w:r w:rsidRPr="00FB5D9F">
                    <w:rPr>
                      <w:color w:val="000000"/>
                      <w:sz w:val="16"/>
                      <w:lang w:val="bg-BG"/>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AF83AB" w14:textId="77777777" w:rsidR="00A77B3E" w:rsidRDefault="00E62050" w:rsidP="00CD2606">
                  <w:pPr>
                    <w:spacing w:before="100"/>
                    <w:jc w:val="right"/>
                    <w:rPr>
                      <w:color w:val="000000"/>
                      <w:sz w:val="16"/>
                    </w:rPr>
                  </w:pPr>
                  <w:r>
                    <w:rPr>
                      <w:color w:val="000000"/>
                      <w:sz w:val="16"/>
                    </w:rPr>
                    <w:t>8109</w:t>
                  </w:r>
                  <w:r w:rsidR="00CD2606">
                    <w:rPr>
                      <w:color w:val="000000"/>
                      <w:sz w:val="16"/>
                      <w:lang w:val="bg-BG"/>
                    </w:rPr>
                    <w:t>,</w:t>
                  </w:r>
                  <w:r>
                    <w:rPr>
                      <w:color w:val="000000"/>
                      <w:sz w:val="16"/>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5B0AF8"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C08963" w14:textId="77777777" w:rsidR="00A77B3E" w:rsidRPr="003D7373" w:rsidRDefault="003D7373">
                  <w:pPr>
                    <w:spacing w:before="100"/>
                    <w:rPr>
                      <w:color w:val="000000"/>
                      <w:sz w:val="16"/>
                      <w:lang w:val="bg-BG"/>
                    </w:rPr>
                  </w:pPr>
                  <w:r>
                    <w:rPr>
                      <w:color w:val="000000"/>
                      <w:sz w:val="16"/>
                      <w:lang w:val="bg-BG"/>
                    </w:rPr>
                    <w:t>ТП</w:t>
                  </w:r>
                </w:p>
              </w:tc>
            </w:tr>
          </w:tbl>
          <w:p w14:paraId="431DB02F" w14:textId="77777777" w:rsidR="00A77B3E" w:rsidRDefault="00A77B3E">
            <w:pPr>
              <w:spacing w:before="100"/>
              <w:rPr>
                <w:color w:val="000000"/>
                <w:sz w:val="16"/>
              </w:rPr>
            </w:pPr>
          </w:p>
        </w:tc>
      </w:tr>
    </w:tbl>
    <w:p w14:paraId="525E683B" w14:textId="77777777" w:rsidR="00A77B3E" w:rsidRDefault="00A77B3E">
      <w:pPr>
        <w:spacing w:before="100"/>
        <w:rPr>
          <w:color w:val="000000"/>
          <w:sz w:val="16"/>
        </w:rPr>
      </w:pPr>
    </w:p>
    <w:p w14:paraId="52DF878A" w14:textId="77777777" w:rsidR="00A77B3E" w:rsidRDefault="00A77B3E">
      <w:pPr>
        <w:spacing w:before="100"/>
        <w:rPr>
          <w:color w:val="000000"/>
          <w:sz w:val="16"/>
        </w:rPr>
        <w:sectPr w:rsidR="00A77B3E">
          <w:headerReference w:type="even" r:id="rId112"/>
          <w:headerReference w:type="default" r:id="rId113"/>
          <w:footerReference w:type="even" r:id="rId114"/>
          <w:footerReference w:type="default" r:id="rId115"/>
          <w:headerReference w:type="first" r:id="rId116"/>
          <w:footerReference w:type="first" r:id="rId117"/>
          <w:pgSz w:w="16838" w:h="11906" w:orient="landscape"/>
          <w:pgMar w:top="720" w:right="720" w:bottom="864" w:left="936" w:header="288" w:footer="72" w:gutter="0"/>
          <w:cols w:space="720"/>
          <w:noEndnote/>
          <w:docGrid w:linePitch="360"/>
        </w:sectPr>
      </w:pPr>
    </w:p>
    <w:p w14:paraId="645FA793" w14:textId="77777777" w:rsidR="00A77B3E" w:rsidRDefault="003D7373">
      <w:pPr>
        <w:pStyle w:val="Heading1"/>
        <w:spacing w:before="100" w:after="0"/>
        <w:rPr>
          <w:rFonts w:ascii="Times New Roman" w:hAnsi="Times New Roman" w:cs="Times New Roman"/>
          <w:b w:val="0"/>
          <w:color w:val="000000"/>
          <w:sz w:val="16"/>
        </w:rPr>
      </w:pPr>
      <w:bookmarkStart w:id="58" w:name="_Toc129599330"/>
      <w:r>
        <w:rPr>
          <w:rFonts w:ascii="Times New Roman" w:hAnsi="Times New Roman" w:cs="Times New Roman"/>
          <w:b w:val="0"/>
          <w:color w:val="000000"/>
          <w:sz w:val="16"/>
          <w:lang w:val="bg-BG"/>
        </w:rPr>
        <w:lastRenderedPageBreak/>
        <w:t>Документи</w:t>
      </w:r>
      <w:bookmarkEnd w:id="58"/>
    </w:p>
    <w:p w14:paraId="44ACA890"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795"/>
        <w:gridCol w:w="1122"/>
        <w:gridCol w:w="1796"/>
        <w:gridCol w:w="1796"/>
        <w:gridCol w:w="3950"/>
        <w:gridCol w:w="1122"/>
        <w:gridCol w:w="1796"/>
      </w:tblGrid>
      <w:tr w:rsidR="002F6D49" w14:paraId="1F598AA8" w14:textId="77777777">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ECB8750" w14:textId="77777777" w:rsidR="00A77B3E" w:rsidRPr="003D7373" w:rsidRDefault="003D7373">
            <w:pPr>
              <w:spacing w:before="100"/>
              <w:jc w:val="center"/>
              <w:rPr>
                <w:color w:val="000000"/>
                <w:sz w:val="16"/>
                <w:lang w:val="bg-BG"/>
              </w:rPr>
            </w:pPr>
            <w:r>
              <w:rPr>
                <w:color w:val="000000"/>
                <w:sz w:val="16"/>
                <w:lang w:val="bg-BG"/>
              </w:rPr>
              <w:t>Наименование</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112CA39" w14:textId="77777777" w:rsidR="00A77B3E" w:rsidRPr="003D7373" w:rsidRDefault="003D7373">
            <w:pPr>
              <w:spacing w:before="100"/>
              <w:jc w:val="center"/>
              <w:rPr>
                <w:color w:val="000000"/>
                <w:sz w:val="16"/>
                <w:lang w:val="bg-BG"/>
              </w:rPr>
            </w:pPr>
            <w:r>
              <w:rPr>
                <w:color w:val="000000"/>
                <w:sz w:val="16"/>
                <w:lang w:val="bg-BG"/>
              </w:rPr>
              <w:t>Вид</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8E4D575" w14:textId="77777777" w:rsidR="00A77B3E" w:rsidRPr="003D7373" w:rsidRDefault="003D7373">
            <w:pPr>
              <w:spacing w:before="100"/>
              <w:jc w:val="center"/>
              <w:rPr>
                <w:color w:val="000000"/>
                <w:sz w:val="16"/>
                <w:lang w:val="bg-BG"/>
              </w:rPr>
            </w:pPr>
            <w:r>
              <w:rPr>
                <w:color w:val="000000"/>
                <w:sz w:val="16"/>
                <w:lang w:val="bg-BG"/>
              </w:rPr>
              <w:t>Дата</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DDDC0CB" w14:textId="77777777" w:rsidR="00A77B3E" w:rsidRPr="003D7373" w:rsidRDefault="003D7373">
            <w:pPr>
              <w:spacing w:before="100"/>
              <w:jc w:val="center"/>
              <w:rPr>
                <w:color w:val="000000"/>
                <w:sz w:val="16"/>
                <w:lang w:val="bg-BG"/>
              </w:rPr>
            </w:pPr>
            <w:r>
              <w:rPr>
                <w:color w:val="000000"/>
                <w:sz w:val="16"/>
                <w:lang w:val="bg-BG"/>
              </w:rPr>
              <w:t>Рег. номер на ДЧ</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F3A1D0A" w14:textId="77777777" w:rsidR="00A77B3E" w:rsidRPr="003D7373" w:rsidRDefault="003D7373">
            <w:pPr>
              <w:spacing w:before="100"/>
              <w:jc w:val="center"/>
              <w:rPr>
                <w:color w:val="000000"/>
                <w:sz w:val="16"/>
                <w:lang w:val="bg-BG"/>
              </w:rPr>
            </w:pPr>
            <w:r>
              <w:rPr>
                <w:color w:val="000000"/>
                <w:sz w:val="16"/>
                <w:lang w:val="bg-BG"/>
              </w:rPr>
              <w:t>Рег. номер на ЕК</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378D4B0" w14:textId="77777777" w:rsidR="00A77B3E" w:rsidRPr="003D7373" w:rsidRDefault="003D7373">
            <w:pPr>
              <w:spacing w:before="100"/>
              <w:jc w:val="center"/>
              <w:rPr>
                <w:color w:val="000000"/>
                <w:sz w:val="16"/>
                <w:lang w:val="bg-BG"/>
              </w:rPr>
            </w:pPr>
            <w:r>
              <w:rPr>
                <w:color w:val="000000"/>
                <w:sz w:val="16"/>
                <w:lang w:val="bg-BG"/>
              </w:rPr>
              <w:t>Файлове</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D84256D" w14:textId="77777777" w:rsidR="00A77B3E" w:rsidRPr="003D7373" w:rsidRDefault="003D7373">
            <w:pPr>
              <w:spacing w:before="100"/>
              <w:jc w:val="center"/>
              <w:rPr>
                <w:color w:val="000000"/>
                <w:sz w:val="16"/>
                <w:lang w:val="bg-BG"/>
              </w:rPr>
            </w:pPr>
            <w:r>
              <w:rPr>
                <w:color w:val="000000"/>
                <w:sz w:val="16"/>
                <w:lang w:val="bg-BG"/>
              </w:rPr>
              <w:t>Дата на изпращане</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19C96FE" w14:textId="77777777" w:rsidR="00A77B3E" w:rsidRPr="003D7373" w:rsidRDefault="003D7373">
            <w:pPr>
              <w:spacing w:before="100"/>
              <w:jc w:val="center"/>
              <w:rPr>
                <w:color w:val="000000"/>
                <w:sz w:val="16"/>
                <w:lang w:val="bg-BG"/>
              </w:rPr>
            </w:pPr>
            <w:r>
              <w:rPr>
                <w:color w:val="000000"/>
                <w:sz w:val="16"/>
                <w:lang w:val="bg-BG"/>
              </w:rPr>
              <w:t>Изпратен от</w:t>
            </w:r>
          </w:p>
        </w:tc>
      </w:tr>
      <w:tr w:rsidR="002F6D49" w14:paraId="2CB1EA34"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9291696" w14:textId="57D48250" w:rsidR="00A77B3E" w:rsidRPr="003D7373" w:rsidRDefault="00A77B3E">
            <w:pPr>
              <w:spacing w:before="100"/>
              <w:rPr>
                <w:color w:val="000000"/>
                <w:sz w:val="16"/>
                <w:lang w:val="bg-BG"/>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854643D" w14:textId="0E982C7A" w:rsidR="00A77B3E" w:rsidRPr="003D7373" w:rsidRDefault="00A77B3E">
            <w:pPr>
              <w:spacing w:before="100"/>
              <w:rPr>
                <w:color w:val="000000"/>
                <w:sz w:val="16"/>
                <w:lang w:val="bg-BG"/>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89659A4" w14:textId="6C7252CD" w:rsidR="00A77B3E" w:rsidRDefault="00A77B3E" w:rsidP="003D7373">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AF9CE7A"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C731FBA" w14:textId="78DF83F2"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794CA5C" w14:textId="6342C910" w:rsidR="00A77B3E" w:rsidRDefault="00E62050" w:rsidP="003E2E38">
            <w:pPr>
              <w:spacing w:before="100"/>
              <w:rPr>
                <w:color w:val="000000"/>
                <w:sz w:val="16"/>
              </w:rPr>
            </w:pPr>
            <w:r>
              <w:rPr>
                <w:color w:val="000000"/>
                <w:sz w:val="16"/>
              </w:rPr>
              <w:br/>
            </w:r>
            <w:r>
              <w:rPr>
                <w:color w:val="000000"/>
                <w:sz w:val="16"/>
              </w:rPr>
              <w:br/>
            </w:r>
            <w:r>
              <w:rPr>
                <w:color w:val="000000"/>
                <w:sz w:val="16"/>
              </w:rPr>
              <w:br/>
            </w:r>
            <w:r>
              <w:rPr>
                <w:color w:val="000000"/>
                <w:sz w:val="16"/>
              </w:rPr>
              <w:br/>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223F034" w14:textId="3F5AAC43" w:rsidR="00A77B3E" w:rsidRDefault="00A77B3E" w:rsidP="003D7373">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7C2F15B" w14:textId="148F6906" w:rsidR="00A77B3E" w:rsidRDefault="00A77B3E">
            <w:pPr>
              <w:spacing w:before="100"/>
              <w:rPr>
                <w:color w:val="000000"/>
                <w:sz w:val="16"/>
              </w:rPr>
            </w:pPr>
          </w:p>
        </w:tc>
      </w:tr>
      <w:tr w:rsidR="002F6D49" w14:paraId="62ADB0A9"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072A4EF" w14:textId="77777777" w:rsidR="00A77B3E" w:rsidRDefault="003D7373">
            <w:pPr>
              <w:spacing w:before="100"/>
              <w:rPr>
                <w:color w:val="000000"/>
                <w:sz w:val="16"/>
              </w:rPr>
            </w:pPr>
            <w:r w:rsidRPr="003D7373">
              <w:rPr>
                <w:color w:val="000000"/>
                <w:sz w:val="16"/>
              </w:rPr>
              <w:t xml:space="preserve">Справка за програмата </w:t>
            </w:r>
            <w:r w:rsidR="00E62050">
              <w:rPr>
                <w:color w:val="000000"/>
                <w:sz w:val="16"/>
              </w:rPr>
              <w:t>2021BG65ISPR001 1.2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92E28B7" w14:textId="77777777" w:rsidR="00A77B3E" w:rsidRDefault="003D7373">
            <w:pPr>
              <w:spacing w:before="100"/>
              <w:rPr>
                <w:color w:val="000000"/>
                <w:sz w:val="16"/>
              </w:rPr>
            </w:pPr>
            <w:r w:rsidRPr="003D7373">
              <w:rPr>
                <w:color w:val="000000"/>
                <w:sz w:val="16"/>
              </w:rPr>
              <w:t>Справка за програмата</w:t>
            </w:r>
            <w:r>
              <w:rPr>
                <w:color w:val="000000"/>
                <w:sz w:val="16"/>
                <w:lang w:val="bg-BG"/>
              </w:rPr>
              <w:t xml:space="preserve"> преди изпращане</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ADC9752" w14:textId="3335046D" w:rsidR="00A77B3E" w:rsidRPr="00894EB3" w:rsidRDefault="003E2E38" w:rsidP="003D7373">
            <w:pPr>
              <w:spacing w:before="100"/>
              <w:rPr>
                <w:color w:val="000000"/>
                <w:sz w:val="16"/>
                <w:lang w:val="bg-BG"/>
              </w:rPr>
            </w:pPr>
            <w:r>
              <w:rPr>
                <w:color w:val="000000"/>
                <w:sz w:val="16"/>
                <w:lang w:val="bg-BG"/>
              </w:rPr>
              <w:t>4 Ноември 2025</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BA61064"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CCF7982" w14:textId="1D209E8E" w:rsidR="00A77B3E" w:rsidRPr="00894EB3" w:rsidRDefault="00E62050" w:rsidP="003E2E38">
            <w:pPr>
              <w:spacing w:before="100"/>
              <w:rPr>
                <w:color w:val="000000"/>
                <w:sz w:val="16"/>
                <w:lang w:val="bg-BG"/>
              </w:rPr>
            </w:pPr>
            <w:r>
              <w:rPr>
                <w:color w:val="000000"/>
                <w:sz w:val="16"/>
              </w:rPr>
              <w:t>Ares(202</w:t>
            </w:r>
            <w:r w:rsidR="003E2E38">
              <w:rPr>
                <w:color w:val="000000"/>
                <w:sz w:val="16"/>
                <w:lang w:val="bg-BG"/>
              </w:rPr>
              <w:t>5</w:t>
            </w:r>
            <w:r>
              <w:rPr>
                <w:color w:val="000000"/>
                <w:sz w:val="16"/>
              </w:rPr>
              <w:t>)</w:t>
            </w:r>
            <w:r w:rsidR="003E2E38">
              <w:rPr>
                <w:color w:val="000000"/>
                <w:sz w:val="16"/>
                <w:lang w:val="bg-BG"/>
              </w:rPr>
              <w:t>10213822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E755E5F" w14:textId="122CFD80" w:rsidR="00A77B3E" w:rsidRDefault="00E62050" w:rsidP="003E2E38">
            <w:pPr>
              <w:spacing w:before="100"/>
              <w:rPr>
                <w:color w:val="000000"/>
                <w:sz w:val="16"/>
              </w:rPr>
            </w:pPr>
            <w:r>
              <w:rPr>
                <w:color w:val="000000"/>
                <w:sz w:val="16"/>
              </w:rPr>
              <w:t>Programme_snapshot_2021BG65ISPR001_2_bg.pdf</w:t>
            </w:r>
            <w:r>
              <w:rPr>
                <w:color w:val="000000"/>
                <w:sz w:val="16"/>
              </w:rPr>
              <w:br/>
              <w:t>Programme_snapshot_2021BG65ISPR001_2_en.pdf</w:t>
            </w:r>
            <w:r>
              <w:rPr>
                <w:color w:val="000000"/>
                <w:sz w:val="16"/>
              </w:rPr>
              <w:br/>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7B23CF3" w14:textId="28713F70" w:rsidR="00A77B3E" w:rsidRDefault="003E2E38" w:rsidP="003D7373">
            <w:pPr>
              <w:spacing w:before="100"/>
              <w:rPr>
                <w:color w:val="000000"/>
                <w:sz w:val="16"/>
              </w:rPr>
            </w:pPr>
            <w:r>
              <w:rPr>
                <w:color w:val="000000"/>
                <w:sz w:val="16"/>
                <w:lang w:val="bg-BG"/>
              </w:rPr>
              <w:t>24 Ноември 2025</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BD91955" w14:textId="77777777" w:rsidR="00A77B3E" w:rsidRDefault="00E62050">
            <w:pPr>
              <w:spacing w:before="100"/>
              <w:rPr>
                <w:color w:val="000000"/>
                <w:sz w:val="16"/>
              </w:rPr>
            </w:pPr>
            <w:r>
              <w:rPr>
                <w:color w:val="000000"/>
                <w:sz w:val="16"/>
              </w:rPr>
              <w:t>Petkova, Maya</w:t>
            </w:r>
          </w:p>
        </w:tc>
      </w:tr>
    </w:tbl>
    <w:p w14:paraId="3C5F3AFB" w14:textId="77777777" w:rsidR="00A77B3E" w:rsidRDefault="00A77B3E">
      <w:pPr>
        <w:spacing w:before="100"/>
        <w:jc w:val="center"/>
        <w:rPr>
          <w:color w:val="000000"/>
          <w:sz w:val="16"/>
        </w:rPr>
      </w:pPr>
    </w:p>
    <w:sectPr w:rsidR="00A77B3E">
      <w:headerReference w:type="even" r:id="rId118"/>
      <w:headerReference w:type="default" r:id="rId119"/>
      <w:footerReference w:type="even" r:id="rId120"/>
      <w:footerReference w:type="default" r:id="rId121"/>
      <w:headerReference w:type="first" r:id="rId122"/>
      <w:footerReference w:type="first" r:id="rId123"/>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546BD" w14:textId="77777777" w:rsidR="00AE33B9" w:rsidRDefault="00AE33B9">
      <w:r>
        <w:separator/>
      </w:r>
    </w:p>
  </w:endnote>
  <w:endnote w:type="continuationSeparator" w:id="0">
    <w:p w14:paraId="2C042B22" w14:textId="77777777" w:rsidR="00AE33B9" w:rsidRDefault="00AE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128"/>
      <w:gridCol w:w="1993"/>
      <w:gridCol w:w="4129"/>
    </w:tblGrid>
    <w:tr w:rsidR="00AE33B9" w14:paraId="6FF449A0" w14:textId="77777777">
      <w:trPr>
        <w:trHeight w:val="240"/>
      </w:trPr>
      <w:tc>
        <w:tcPr>
          <w:tcW w:w="0" w:type="auto"/>
          <w:tcMar>
            <w:left w:w="100" w:type="dxa"/>
            <w:right w:w="100" w:type="dxa"/>
          </w:tcMar>
        </w:tcPr>
        <w:p w14:paraId="6F0162CE" w14:textId="77777777" w:rsidR="00AE33B9" w:rsidRDefault="00AE33B9">
          <w:pPr>
            <w:rPr>
              <w:b/>
              <w:color w:val="000000"/>
            </w:rPr>
          </w:pPr>
          <w:r>
            <w:rPr>
              <w:b/>
              <w:color w:val="000000"/>
              <w:sz w:val="32"/>
            </w:rPr>
            <w:t>BG</w:t>
          </w:r>
        </w:p>
      </w:tc>
      <w:tc>
        <w:tcPr>
          <w:tcW w:w="0" w:type="auto"/>
          <w:tcMar>
            <w:left w:w="100" w:type="dxa"/>
            <w:right w:w="100" w:type="dxa"/>
          </w:tcMar>
        </w:tcPr>
        <w:p w14:paraId="23387A64" w14:textId="1B95B54B"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4</w:t>
          </w:r>
          <w:r>
            <w:rPr>
              <w:b/>
              <w:color w:val="000000"/>
            </w:rPr>
            <w:fldChar w:fldCharType="end"/>
          </w:r>
        </w:p>
      </w:tc>
      <w:tc>
        <w:tcPr>
          <w:tcW w:w="0" w:type="auto"/>
          <w:tcMar>
            <w:left w:w="100" w:type="dxa"/>
            <w:right w:w="100" w:type="dxa"/>
          </w:tcMar>
        </w:tcPr>
        <w:p w14:paraId="48BC040D" w14:textId="77777777" w:rsidR="00AE33B9" w:rsidRDefault="00AE33B9">
          <w:pPr>
            <w:jc w:val="right"/>
            <w:rPr>
              <w:b/>
              <w:color w:val="000000"/>
              <w:sz w:val="32"/>
            </w:rPr>
          </w:pPr>
          <w:r>
            <w:rPr>
              <w:b/>
              <w:color w:val="000000"/>
              <w:sz w:val="32"/>
            </w:rPr>
            <w:t>BG</w:t>
          </w:r>
        </w:p>
      </w:tc>
    </w:tr>
  </w:tbl>
  <w:p w14:paraId="09B97657" w14:textId="77777777" w:rsidR="00AE33B9" w:rsidRDefault="00AE33B9">
    <w:pPr>
      <w:rPr>
        <w:b/>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1BD4" w14:textId="77777777" w:rsidR="00AE33B9" w:rsidRDefault="00AE33B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B5F6" w14:textId="77777777" w:rsidR="00AE33B9" w:rsidRDefault="00AE33B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AE33B9" w14:paraId="1F5F7961" w14:textId="77777777">
      <w:tc>
        <w:tcPr>
          <w:tcW w:w="0" w:type="auto"/>
          <w:tcMar>
            <w:top w:w="0" w:type="dxa"/>
            <w:left w:w="60" w:type="dxa"/>
            <w:bottom w:w="80" w:type="dxa"/>
            <w:right w:w="60" w:type="dxa"/>
          </w:tcMar>
        </w:tcPr>
        <w:p w14:paraId="64474D88"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tcPr>
        <w:p w14:paraId="1E763F30" w14:textId="7D135CF7"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24</w:t>
          </w:r>
          <w:r>
            <w:rPr>
              <w:b/>
              <w:color w:val="000000"/>
            </w:rPr>
            <w:fldChar w:fldCharType="end"/>
          </w:r>
        </w:p>
      </w:tc>
      <w:tc>
        <w:tcPr>
          <w:tcW w:w="0" w:type="auto"/>
          <w:tcMar>
            <w:top w:w="0" w:type="dxa"/>
            <w:left w:w="60" w:type="dxa"/>
            <w:bottom w:w="80" w:type="dxa"/>
            <w:right w:w="60" w:type="dxa"/>
          </w:tcMar>
        </w:tcPr>
        <w:p w14:paraId="3962D3AD" w14:textId="77777777" w:rsidR="00AE33B9" w:rsidRDefault="00AE33B9">
          <w:pPr>
            <w:jc w:val="right"/>
            <w:rPr>
              <w:b/>
              <w:color w:val="000000"/>
              <w:sz w:val="32"/>
            </w:rPr>
          </w:pPr>
          <w:r>
            <w:rPr>
              <w:b/>
              <w:color w:val="000000"/>
              <w:sz w:val="32"/>
            </w:rPr>
            <w:t>BG</w:t>
          </w:r>
        </w:p>
      </w:tc>
    </w:tr>
  </w:tbl>
  <w:p w14:paraId="2CC03670" w14:textId="77777777" w:rsidR="00AE33B9" w:rsidRDefault="00AE33B9">
    <w:pPr>
      <w:rPr>
        <w:b/>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8658" w14:textId="77777777" w:rsidR="00AE33B9" w:rsidRDefault="00AE33B9"/>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4C99" w14:textId="77777777" w:rsidR="00AE33B9" w:rsidRDefault="00AE33B9"/>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AE33B9" w14:paraId="70088AE8" w14:textId="77777777">
      <w:tc>
        <w:tcPr>
          <w:tcW w:w="0" w:type="auto"/>
          <w:tcMar>
            <w:top w:w="0" w:type="dxa"/>
            <w:left w:w="60" w:type="dxa"/>
            <w:bottom w:w="80" w:type="dxa"/>
            <w:right w:w="60" w:type="dxa"/>
          </w:tcMar>
        </w:tcPr>
        <w:p w14:paraId="7524DBCD"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tcPr>
        <w:p w14:paraId="22113026" w14:textId="0BE735D5"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32</w:t>
          </w:r>
          <w:r>
            <w:rPr>
              <w:b/>
              <w:color w:val="000000"/>
            </w:rPr>
            <w:fldChar w:fldCharType="end"/>
          </w:r>
        </w:p>
      </w:tc>
      <w:tc>
        <w:tcPr>
          <w:tcW w:w="0" w:type="auto"/>
          <w:tcMar>
            <w:top w:w="0" w:type="dxa"/>
            <w:left w:w="60" w:type="dxa"/>
            <w:bottom w:w="80" w:type="dxa"/>
            <w:right w:w="60" w:type="dxa"/>
          </w:tcMar>
        </w:tcPr>
        <w:p w14:paraId="0870F235" w14:textId="77777777" w:rsidR="00AE33B9" w:rsidRDefault="00AE33B9">
          <w:pPr>
            <w:jc w:val="right"/>
            <w:rPr>
              <w:b/>
              <w:color w:val="000000"/>
              <w:sz w:val="32"/>
            </w:rPr>
          </w:pPr>
          <w:r>
            <w:rPr>
              <w:b/>
              <w:color w:val="000000"/>
              <w:sz w:val="32"/>
            </w:rPr>
            <w:t>BG</w:t>
          </w:r>
        </w:p>
      </w:tc>
    </w:tr>
  </w:tbl>
  <w:p w14:paraId="12C5D434" w14:textId="77777777" w:rsidR="00AE33B9" w:rsidRDefault="00AE33B9">
    <w:pPr>
      <w:rPr>
        <w:b/>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682C" w14:textId="77777777" w:rsidR="00AE33B9" w:rsidRDefault="00AE33B9"/>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E4C3" w14:textId="77777777" w:rsidR="00AE33B9" w:rsidRDefault="00AE33B9"/>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AE33B9" w14:paraId="22343B57" w14:textId="77777777">
      <w:tc>
        <w:tcPr>
          <w:tcW w:w="0" w:type="auto"/>
          <w:tcMar>
            <w:top w:w="0" w:type="dxa"/>
            <w:left w:w="60" w:type="dxa"/>
            <w:bottom w:w="80" w:type="dxa"/>
            <w:right w:w="60" w:type="dxa"/>
          </w:tcMar>
        </w:tcPr>
        <w:p w14:paraId="7CD9F789"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tcPr>
        <w:p w14:paraId="50FA3D6D" w14:textId="665EDE38"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39</w:t>
          </w:r>
          <w:r>
            <w:rPr>
              <w:b/>
              <w:color w:val="000000"/>
            </w:rPr>
            <w:fldChar w:fldCharType="end"/>
          </w:r>
        </w:p>
      </w:tc>
      <w:tc>
        <w:tcPr>
          <w:tcW w:w="0" w:type="auto"/>
          <w:tcMar>
            <w:top w:w="0" w:type="dxa"/>
            <w:left w:w="60" w:type="dxa"/>
            <w:bottom w:w="80" w:type="dxa"/>
            <w:right w:w="60" w:type="dxa"/>
          </w:tcMar>
        </w:tcPr>
        <w:p w14:paraId="2B1365C7" w14:textId="77777777" w:rsidR="00AE33B9" w:rsidRDefault="00AE33B9">
          <w:pPr>
            <w:jc w:val="right"/>
            <w:rPr>
              <w:b/>
              <w:color w:val="000000"/>
              <w:sz w:val="32"/>
            </w:rPr>
          </w:pPr>
          <w:r>
            <w:rPr>
              <w:b/>
              <w:color w:val="000000"/>
              <w:sz w:val="32"/>
            </w:rPr>
            <w:t>BG</w:t>
          </w:r>
        </w:p>
      </w:tc>
    </w:tr>
  </w:tbl>
  <w:p w14:paraId="48D54D59" w14:textId="77777777" w:rsidR="00AE33B9" w:rsidRDefault="00AE33B9">
    <w:pPr>
      <w:rPr>
        <w:b/>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46AD" w14:textId="77777777" w:rsidR="00AE33B9" w:rsidRDefault="00AE33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BD16" w14:textId="77777777" w:rsidR="00AE33B9" w:rsidRDefault="00AE33B9"/>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B667" w14:textId="77777777" w:rsidR="00AE33B9" w:rsidRDefault="00AE33B9"/>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AE33B9" w14:paraId="01988352" w14:textId="77777777">
      <w:tc>
        <w:tcPr>
          <w:tcW w:w="0" w:type="auto"/>
          <w:tcMar>
            <w:top w:w="0" w:type="dxa"/>
            <w:left w:w="60" w:type="dxa"/>
            <w:bottom w:w="80" w:type="dxa"/>
            <w:right w:w="60" w:type="dxa"/>
          </w:tcMar>
        </w:tcPr>
        <w:p w14:paraId="25E95587"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tcPr>
        <w:p w14:paraId="0382EC4C" w14:textId="274D3AA2"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43</w:t>
          </w:r>
          <w:r>
            <w:rPr>
              <w:b/>
              <w:color w:val="000000"/>
            </w:rPr>
            <w:fldChar w:fldCharType="end"/>
          </w:r>
        </w:p>
      </w:tc>
      <w:tc>
        <w:tcPr>
          <w:tcW w:w="0" w:type="auto"/>
          <w:tcMar>
            <w:top w:w="0" w:type="dxa"/>
            <w:left w:w="60" w:type="dxa"/>
            <w:bottom w:w="80" w:type="dxa"/>
            <w:right w:w="60" w:type="dxa"/>
          </w:tcMar>
        </w:tcPr>
        <w:p w14:paraId="50AFC154" w14:textId="77777777" w:rsidR="00AE33B9" w:rsidRDefault="00AE33B9">
          <w:pPr>
            <w:jc w:val="right"/>
            <w:rPr>
              <w:b/>
              <w:color w:val="000000"/>
              <w:sz w:val="32"/>
            </w:rPr>
          </w:pPr>
          <w:r>
            <w:rPr>
              <w:b/>
              <w:color w:val="000000"/>
              <w:sz w:val="32"/>
            </w:rPr>
            <w:t>BG</w:t>
          </w:r>
        </w:p>
      </w:tc>
    </w:tr>
  </w:tbl>
  <w:p w14:paraId="52F27F0F" w14:textId="77777777" w:rsidR="00AE33B9" w:rsidRDefault="00AE33B9">
    <w:pPr>
      <w:rPr>
        <w:b/>
        <w:color w:val="00000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EA10" w14:textId="77777777" w:rsidR="00AE33B9" w:rsidRDefault="00AE33B9"/>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600B" w14:textId="77777777" w:rsidR="00AE33B9" w:rsidRDefault="00AE33B9"/>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AE33B9" w14:paraId="31FEDE81" w14:textId="77777777">
      <w:tc>
        <w:tcPr>
          <w:tcW w:w="0" w:type="auto"/>
          <w:tcMar>
            <w:top w:w="0" w:type="dxa"/>
            <w:left w:w="60" w:type="dxa"/>
            <w:bottom w:w="80" w:type="dxa"/>
            <w:right w:w="60" w:type="dxa"/>
          </w:tcMar>
        </w:tcPr>
        <w:p w14:paraId="3ED9E0AB"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tcPr>
        <w:p w14:paraId="478CD218" w14:textId="663FA883"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45</w:t>
          </w:r>
          <w:r>
            <w:rPr>
              <w:b/>
              <w:color w:val="000000"/>
            </w:rPr>
            <w:fldChar w:fldCharType="end"/>
          </w:r>
        </w:p>
      </w:tc>
      <w:tc>
        <w:tcPr>
          <w:tcW w:w="0" w:type="auto"/>
          <w:tcMar>
            <w:top w:w="0" w:type="dxa"/>
            <w:left w:w="60" w:type="dxa"/>
            <w:bottom w:w="80" w:type="dxa"/>
            <w:right w:w="60" w:type="dxa"/>
          </w:tcMar>
        </w:tcPr>
        <w:p w14:paraId="0064B19F" w14:textId="77777777" w:rsidR="00AE33B9" w:rsidRDefault="00AE33B9">
          <w:pPr>
            <w:jc w:val="right"/>
            <w:rPr>
              <w:b/>
              <w:color w:val="000000"/>
              <w:sz w:val="32"/>
            </w:rPr>
          </w:pPr>
          <w:r>
            <w:rPr>
              <w:b/>
              <w:color w:val="000000"/>
              <w:sz w:val="32"/>
            </w:rPr>
            <w:t>BG</w:t>
          </w:r>
        </w:p>
      </w:tc>
    </w:tr>
  </w:tbl>
  <w:p w14:paraId="19AAC81E" w14:textId="77777777" w:rsidR="00AE33B9" w:rsidRDefault="00AE33B9">
    <w:pPr>
      <w:rPr>
        <w:b/>
        <w:color w:val="00000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3297" w14:textId="77777777" w:rsidR="00AE33B9" w:rsidRDefault="00AE33B9"/>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4F16" w14:textId="77777777" w:rsidR="00AE33B9" w:rsidRDefault="00AE33B9"/>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AE33B9" w14:paraId="4DCF4CE3" w14:textId="77777777">
      <w:tc>
        <w:tcPr>
          <w:tcW w:w="0" w:type="auto"/>
          <w:tcMar>
            <w:top w:w="0" w:type="dxa"/>
            <w:left w:w="60" w:type="dxa"/>
            <w:bottom w:w="80" w:type="dxa"/>
            <w:right w:w="60" w:type="dxa"/>
          </w:tcMar>
        </w:tcPr>
        <w:p w14:paraId="14EF4DF1"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tcPr>
        <w:p w14:paraId="3B8DCD19" w14:textId="1DA7FB32"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47</w:t>
          </w:r>
          <w:r>
            <w:rPr>
              <w:b/>
              <w:color w:val="000000"/>
            </w:rPr>
            <w:fldChar w:fldCharType="end"/>
          </w:r>
        </w:p>
      </w:tc>
      <w:tc>
        <w:tcPr>
          <w:tcW w:w="0" w:type="auto"/>
          <w:tcMar>
            <w:top w:w="0" w:type="dxa"/>
            <w:left w:w="60" w:type="dxa"/>
            <w:bottom w:w="80" w:type="dxa"/>
            <w:right w:w="60" w:type="dxa"/>
          </w:tcMar>
        </w:tcPr>
        <w:p w14:paraId="4A021AEA" w14:textId="77777777" w:rsidR="00AE33B9" w:rsidRDefault="00AE33B9">
          <w:pPr>
            <w:jc w:val="right"/>
            <w:rPr>
              <w:b/>
              <w:color w:val="000000"/>
              <w:sz w:val="32"/>
            </w:rPr>
          </w:pPr>
          <w:r>
            <w:rPr>
              <w:b/>
              <w:color w:val="000000"/>
              <w:sz w:val="32"/>
            </w:rPr>
            <w:t>BG</w:t>
          </w:r>
        </w:p>
      </w:tc>
    </w:tr>
  </w:tbl>
  <w:p w14:paraId="24C57E0D" w14:textId="77777777" w:rsidR="00AE33B9" w:rsidRDefault="00AE33B9">
    <w:pPr>
      <w:rPr>
        <w:b/>
        <w:color w:val="00000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9AD4" w14:textId="77777777" w:rsidR="00AE33B9" w:rsidRDefault="00AE33B9"/>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3CFE" w14:textId="77777777" w:rsidR="00AE33B9" w:rsidRDefault="00AE33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128"/>
      <w:gridCol w:w="1993"/>
      <w:gridCol w:w="4129"/>
    </w:tblGrid>
    <w:tr w:rsidR="00AE33B9" w14:paraId="2CF13AD3" w14:textId="77777777">
      <w:trPr>
        <w:trHeight w:val="240"/>
      </w:trPr>
      <w:tc>
        <w:tcPr>
          <w:tcW w:w="0" w:type="auto"/>
          <w:tcMar>
            <w:left w:w="100" w:type="dxa"/>
            <w:right w:w="100" w:type="dxa"/>
          </w:tcMar>
        </w:tcPr>
        <w:p w14:paraId="16B7FAAF" w14:textId="77777777" w:rsidR="00AE33B9" w:rsidRDefault="00AE33B9">
          <w:pPr>
            <w:rPr>
              <w:b/>
              <w:color w:val="000000"/>
            </w:rPr>
          </w:pPr>
          <w:r>
            <w:rPr>
              <w:b/>
              <w:color w:val="000000"/>
              <w:sz w:val="32"/>
            </w:rPr>
            <w:t>BG</w:t>
          </w:r>
        </w:p>
      </w:tc>
      <w:tc>
        <w:tcPr>
          <w:tcW w:w="0" w:type="auto"/>
          <w:tcMar>
            <w:left w:w="100" w:type="dxa"/>
            <w:right w:w="100" w:type="dxa"/>
          </w:tcMar>
        </w:tcPr>
        <w:p w14:paraId="2B18CB91" w14:textId="18A23993"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9</w:t>
          </w:r>
          <w:r>
            <w:rPr>
              <w:b/>
              <w:color w:val="000000"/>
            </w:rPr>
            <w:fldChar w:fldCharType="end"/>
          </w:r>
        </w:p>
      </w:tc>
      <w:tc>
        <w:tcPr>
          <w:tcW w:w="0" w:type="auto"/>
          <w:tcMar>
            <w:left w:w="100" w:type="dxa"/>
            <w:right w:w="100" w:type="dxa"/>
          </w:tcMar>
        </w:tcPr>
        <w:p w14:paraId="714631CB" w14:textId="77777777" w:rsidR="00AE33B9" w:rsidRDefault="00AE33B9">
          <w:pPr>
            <w:jc w:val="right"/>
            <w:rPr>
              <w:b/>
              <w:color w:val="000000"/>
              <w:sz w:val="32"/>
            </w:rPr>
          </w:pPr>
          <w:r>
            <w:rPr>
              <w:b/>
              <w:color w:val="000000"/>
              <w:sz w:val="32"/>
            </w:rPr>
            <w:t>BG</w:t>
          </w:r>
        </w:p>
      </w:tc>
    </w:tr>
  </w:tbl>
  <w:p w14:paraId="3D6A70B7" w14:textId="77777777" w:rsidR="00AE33B9" w:rsidRDefault="00AE33B9">
    <w:pPr>
      <w:rPr>
        <w:b/>
        <w:color w:val="00000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AE33B9" w14:paraId="7BA82761" w14:textId="77777777">
      <w:tc>
        <w:tcPr>
          <w:tcW w:w="0" w:type="auto"/>
          <w:tcMar>
            <w:top w:w="0" w:type="dxa"/>
            <w:left w:w="60" w:type="dxa"/>
            <w:bottom w:w="80" w:type="dxa"/>
            <w:right w:w="60" w:type="dxa"/>
          </w:tcMar>
          <w:vAlign w:val="center"/>
        </w:tcPr>
        <w:p w14:paraId="001CF546"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vAlign w:val="center"/>
        </w:tcPr>
        <w:p w14:paraId="71FA2BC2" w14:textId="02956986"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57</w:t>
          </w:r>
          <w:r>
            <w:rPr>
              <w:b/>
              <w:color w:val="000000"/>
            </w:rPr>
            <w:fldChar w:fldCharType="end"/>
          </w:r>
        </w:p>
      </w:tc>
      <w:tc>
        <w:tcPr>
          <w:tcW w:w="0" w:type="auto"/>
          <w:tcMar>
            <w:top w:w="0" w:type="dxa"/>
            <w:left w:w="60" w:type="dxa"/>
            <w:bottom w:w="80" w:type="dxa"/>
            <w:right w:w="60" w:type="dxa"/>
          </w:tcMar>
          <w:vAlign w:val="center"/>
        </w:tcPr>
        <w:p w14:paraId="256DAD90" w14:textId="77777777" w:rsidR="00AE33B9" w:rsidRDefault="00AE33B9">
          <w:pPr>
            <w:jc w:val="right"/>
            <w:rPr>
              <w:b/>
              <w:color w:val="000000"/>
              <w:sz w:val="32"/>
            </w:rPr>
          </w:pPr>
          <w:r>
            <w:rPr>
              <w:b/>
              <w:color w:val="000000"/>
              <w:sz w:val="32"/>
            </w:rPr>
            <w:t>BG</w:t>
          </w:r>
        </w:p>
      </w:tc>
    </w:tr>
  </w:tbl>
  <w:p w14:paraId="7CFBABAC" w14:textId="77777777" w:rsidR="00AE33B9" w:rsidRDefault="00AE33B9">
    <w:pPr>
      <w:rPr>
        <w:b/>
        <w:color w:val="00000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B213" w14:textId="77777777" w:rsidR="00AE33B9" w:rsidRDefault="00AE33B9"/>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DB68" w14:textId="77777777" w:rsidR="00AE33B9" w:rsidRDefault="00AE33B9"/>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AE33B9" w14:paraId="148007C8" w14:textId="77777777">
      <w:tc>
        <w:tcPr>
          <w:tcW w:w="0" w:type="auto"/>
          <w:tcMar>
            <w:top w:w="0" w:type="dxa"/>
            <w:left w:w="60" w:type="dxa"/>
            <w:bottom w:w="80" w:type="dxa"/>
            <w:right w:w="60" w:type="dxa"/>
          </w:tcMar>
        </w:tcPr>
        <w:p w14:paraId="714A6E04"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tcPr>
        <w:p w14:paraId="4F6B950D" w14:textId="6E1A58C4"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63</w:t>
          </w:r>
          <w:r>
            <w:rPr>
              <w:b/>
              <w:color w:val="000000"/>
            </w:rPr>
            <w:fldChar w:fldCharType="end"/>
          </w:r>
        </w:p>
      </w:tc>
      <w:tc>
        <w:tcPr>
          <w:tcW w:w="0" w:type="auto"/>
          <w:tcMar>
            <w:top w:w="0" w:type="dxa"/>
            <w:left w:w="60" w:type="dxa"/>
            <w:bottom w:w="80" w:type="dxa"/>
            <w:right w:w="60" w:type="dxa"/>
          </w:tcMar>
        </w:tcPr>
        <w:p w14:paraId="6D41E877" w14:textId="77777777" w:rsidR="00AE33B9" w:rsidRDefault="00AE33B9">
          <w:pPr>
            <w:jc w:val="right"/>
            <w:rPr>
              <w:b/>
              <w:color w:val="000000"/>
              <w:sz w:val="32"/>
            </w:rPr>
          </w:pPr>
          <w:r>
            <w:rPr>
              <w:b/>
              <w:color w:val="000000"/>
              <w:sz w:val="32"/>
            </w:rPr>
            <w:t>BG</w:t>
          </w:r>
        </w:p>
      </w:tc>
    </w:tr>
  </w:tbl>
  <w:p w14:paraId="0EB74286" w14:textId="77777777" w:rsidR="00AE33B9" w:rsidRDefault="00AE33B9">
    <w:pPr>
      <w:rPr>
        <w:b/>
        <w:color w:val="00000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DF8A" w14:textId="77777777" w:rsidR="00AE33B9" w:rsidRDefault="00AE33B9"/>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A535" w14:textId="77777777" w:rsidR="00AE33B9" w:rsidRDefault="00AE33B9"/>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295"/>
      <w:gridCol w:w="2592"/>
      <w:gridCol w:w="6295"/>
    </w:tblGrid>
    <w:tr w:rsidR="00AE33B9" w14:paraId="15DB7A54" w14:textId="77777777">
      <w:tc>
        <w:tcPr>
          <w:tcW w:w="0" w:type="auto"/>
          <w:tcMar>
            <w:top w:w="0" w:type="dxa"/>
            <w:left w:w="60" w:type="dxa"/>
            <w:bottom w:w="80" w:type="dxa"/>
            <w:right w:w="60" w:type="dxa"/>
          </w:tcMar>
        </w:tcPr>
        <w:p w14:paraId="31908F05"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tcPr>
        <w:p w14:paraId="11CB877D" w14:textId="7513EE88"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65</w:t>
          </w:r>
          <w:r>
            <w:rPr>
              <w:b/>
              <w:color w:val="000000"/>
            </w:rPr>
            <w:fldChar w:fldCharType="end"/>
          </w:r>
        </w:p>
      </w:tc>
      <w:tc>
        <w:tcPr>
          <w:tcW w:w="0" w:type="auto"/>
          <w:tcMar>
            <w:top w:w="0" w:type="dxa"/>
            <w:left w:w="60" w:type="dxa"/>
            <w:bottom w:w="80" w:type="dxa"/>
            <w:right w:w="60" w:type="dxa"/>
          </w:tcMar>
        </w:tcPr>
        <w:p w14:paraId="481983A0" w14:textId="77777777" w:rsidR="00AE33B9" w:rsidRDefault="00AE33B9">
          <w:pPr>
            <w:jc w:val="right"/>
            <w:rPr>
              <w:b/>
              <w:color w:val="000000"/>
              <w:sz w:val="32"/>
            </w:rPr>
          </w:pPr>
          <w:r>
            <w:rPr>
              <w:b/>
              <w:color w:val="000000"/>
              <w:sz w:val="32"/>
            </w:rPr>
            <w:t>BG</w:t>
          </w:r>
        </w:p>
      </w:tc>
    </w:tr>
  </w:tbl>
  <w:p w14:paraId="1FF09CE5" w14:textId="77777777" w:rsidR="00AE33B9" w:rsidRDefault="00AE33B9">
    <w:pPr>
      <w:rPr>
        <w:b/>
        <w:color w:val="00000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D35E" w14:textId="77777777" w:rsidR="00AE33B9" w:rsidRDefault="00AE33B9"/>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74A9" w14:textId="77777777" w:rsidR="00AE33B9" w:rsidRDefault="00AE33B9"/>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AE33B9" w14:paraId="1D9A28A9" w14:textId="77777777">
      <w:tc>
        <w:tcPr>
          <w:tcW w:w="0" w:type="auto"/>
          <w:tcMar>
            <w:top w:w="0" w:type="dxa"/>
            <w:left w:w="60" w:type="dxa"/>
            <w:bottom w:w="80" w:type="dxa"/>
            <w:right w:w="60" w:type="dxa"/>
          </w:tcMar>
          <w:vAlign w:val="center"/>
        </w:tcPr>
        <w:p w14:paraId="17BBF1C1"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vAlign w:val="center"/>
        </w:tcPr>
        <w:p w14:paraId="20363608" w14:textId="414741FD"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70</w:t>
          </w:r>
          <w:r>
            <w:rPr>
              <w:b/>
              <w:color w:val="000000"/>
            </w:rPr>
            <w:fldChar w:fldCharType="end"/>
          </w:r>
        </w:p>
      </w:tc>
      <w:tc>
        <w:tcPr>
          <w:tcW w:w="0" w:type="auto"/>
          <w:tcMar>
            <w:top w:w="0" w:type="dxa"/>
            <w:left w:w="60" w:type="dxa"/>
            <w:bottom w:w="80" w:type="dxa"/>
            <w:right w:w="60" w:type="dxa"/>
          </w:tcMar>
          <w:vAlign w:val="center"/>
        </w:tcPr>
        <w:p w14:paraId="5AC39E3B" w14:textId="77777777" w:rsidR="00AE33B9" w:rsidRDefault="00AE33B9">
          <w:pPr>
            <w:jc w:val="right"/>
            <w:rPr>
              <w:b/>
              <w:color w:val="000000"/>
              <w:sz w:val="32"/>
            </w:rPr>
          </w:pPr>
          <w:r>
            <w:rPr>
              <w:b/>
              <w:color w:val="000000"/>
              <w:sz w:val="32"/>
            </w:rPr>
            <w:t>BG</w:t>
          </w:r>
        </w:p>
      </w:tc>
    </w:tr>
  </w:tbl>
  <w:p w14:paraId="3E168C19" w14:textId="77777777" w:rsidR="00AE33B9" w:rsidRDefault="00AE33B9">
    <w:pPr>
      <w:rPr>
        <w:b/>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AAA2" w14:textId="77777777" w:rsidR="00AE33B9" w:rsidRDefault="00AE33B9"/>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A21C" w14:textId="77777777" w:rsidR="00AE33B9" w:rsidRDefault="00AE33B9"/>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30FB" w14:textId="77777777" w:rsidR="00AE33B9" w:rsidRDefault="00AE33B9"/>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081"/>
      <w:gridCol w:w="2089"/>
      <w:gridCol w:w="4080"/>
    </w:tblGrid>
    <w:tr w:rsidR="00AE33B9" w14:paraId="0604B25A" w14:textId="77777777">
      <w:tc>
        <w:tcPr>
          <w:tcW w:w="0" w:type="auto"/>
          <w:tcMar>
            <w:top w:w="20" w:type="dxa"/>
            <w:left w:w="120" w:type="dxa"/>
            <w:bottom w:w="120" w:type="dxa"/>
            <w:right w:w="120" w:type="dxa"/>
          </w:tcMar>
          <w:vAlign w:val="bottom"/>
        </w:tcPr>
        <w:p w14:paraId="783C65B2" w14:textId="77777777" w:rsidR="00AE33B9" w:rsidRDefault="00AE33B9">
          <w:pPr>
            <w:rPr>
              <w:b/>
              <w:color w:val="000000"/>
            </w:rPr>
          </w:pPr>
          <w:r>
            <w:rPr>
              <w:b/>
              <w:color w:val="000000"/>
              <w:sz w:val="32"/>
            </w:rPr>
            <w:t>BG</w:t>
          </w:r>
        </w:p>
      </w:tc>
      <w:tc>
        <w:tcPr>
          <w:tcW w:w="0" w:type="auto"/>
          <w:tcMar>
            <w:top w:w="20" w:type="dxa"/>
            <w:left w:w="120" w:type="dxa"/>
            <w:bottom w:w="120" w:type="dxa"/>
            <w:right w:w="120" w:type="dxa"/>
          </w:tcMar>
          <w:vAlign w:val="bottom"/>
        </w:tcPr>
        <w:p w14:paraId="401644FE" w14:textId="62C2FD2B"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71</w:t>
          </w:r>
          <w:r>
            <w:rPr>
              <w:b/>
              <w:color w:val="000000"/>
            </w:rPr>
            <w:fldChar w:fldCharType="end"/>
          </w:r>
        </w:p>
      </w:tc>
      <w:tc>
        <w:tcPr>
          <w:tcW w:w="0" w:type="auto"/>
          <w:tcMar>
            <w:top w:w="20" w:type="dxa"/>
            <w:left w:w="120" w:type="dxa"/>
            <w:bottom w:w="120" w:type="dxa"/>
            <w:right w:w="120" w:type="dxa"/>
          </w:tcMar>
          <w:vAlign w:val="bottom"/>
        </w:tcPr>
        <w:p w14:paraId="31618A55" w14:textId="77777777" w:rsidR="00AE33B9" w:rsidRDefault="00AE33B9">
          <w:pPr>
            <w:jc w:val="right"/>
            <w:rPr>
              <w:b/>
              <w:color w:val="000000"/>
              <w:sz w:val="32"/>
            </w:rPr>
          </w:pPr>
          <w:r>
            <w:rPr>
              <w:b/>
              <w:color w:val="000000"/>
              <w:sz w:val="32"/>
            </w:rPr>
            <w:t>BG</w:t>
          </w:r>
        </w:p>
      </w:tc>
    </w:tr>
  </w:tbl>
  <w:p w14:paraId="7D3AE781" w14:textId="77777777" w:rsidR="00AE33B9" w:rsidRDefault="00AE33B9">
    <w:pPr>
      <w:rPr>
        <w:b/>
        <w:color w:val="00000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E074" w14:textId="77777777" w:rsidR="00AE33B9" w:rsidRDefault="00AE33B9"/>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61AF" w14:textId="77777777" w:rsidR="00AE33B9" w:rsidRDefault="00AE33B9"/>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AE33B9" w14:paraId="72E1B1B0" w14:textId="77777777">
      <w:tc>
        <w:tcPr>
          <w:tcW w:w="0" w:type="auto"/>
          <w:tcMar>
            <w:top w:w="0" w:type="dxa"/>
            <w:left w:w="60" w:type="dxa"/>
            <w:bottom w:w="80" w:type="dxa"/>
            <w:right w:w="60" w:type="dxa"/>
          </w:tcMar>
          <w:vAlign w:val="center"/>
        </w:tcPr>
        <w:p w14:paraId="4F5683CF"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vAlign w:val="center"/>
        </w:tcPr>
        <w:p w14:paraId="450B6FE5" w14:textId="122FB884"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72</w:t>
          </w:r>
          <w:r>
            <w:rPr>
              <w:b/>
              <w:color w:val="000000"/>
            </w:rPr>
            <w:fldChar w:fldCharType="end"/>
          </w:r>
        </w:p>
      </w:tc>
      <w:tc>
        <w:tcPr>
          <w:tcW w:w="0" w:type="auto"/>
          <w:tcMar>
            <w:top w:w="0" w:type="dxa"/>
            <w:left w:w="60" w:type="dxa"/>
            <w:bottom w:w="80" w:type="dxa"/>
            <w:right w:w="60" w:type="dxa"/>
          </w:tcMar>
          <w:vAlign w:val="center"/>
        </w:tcPr>
        <w:p w14:paraId="62D079E8" w14:textId="77777777" w:rsidR="00AE33B9" w:rsidRDefault="00AE33B9">
          <w:pPr>
            <w:jc w:val="right"/>
            <w:rPr>
              <w:b/>
              <w:color w:val="000000"/>
              <w:sz w:val="32"/>
            </w:rPr>
          </w:pPr>
          <w:r>
            <w:rPr>
              <w:b/>
              <w:color w:val="000000"/>
              <w:sz w:val="32"/>
            </w:rPr>
            <w:t>BG</w:t>
          </w:r>
        </w:p>
      </w:tc>
    </w:tr>
  </w:tbl>
  <w:p w14:paraId="576AA92B" w14:textId="77777777" w:rsidR="00AE33B9" w:rsidRDefault="00AE33B9">
    <w:pPr>
      <w:rPr>
        <w:b/>
        <w:color w:val="00000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2EF0" w14:textId="77777777" w:rsidR="00AE33B9" w:rsidRDefault="00AE33B9"/>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45" w14:textId="77777777" w:rsidR="00AE33B9" w:rsidRDefault="00AE33B9"/>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AE33B9" w14:paraId="62E059BA" w14:textId="77777777">
      <w:tc>
        <w:tcPr>
          <w:tcW w:w="0" w:type="auto"/>
          <w:tcMar>
            <w:top w:w="0" w:type="dxa"/>
            <w:left w:w="60" w:type="dxa"/>
            <w:bottom w:w="80" w:type="dxa"/>
            <w:right w:w="60" w:type="dxa"/>
          </w:tcMar>
          <w:vAlign w:val="center"/>
        </w:tcPr>
        <w:p w14:paraId="63D645A2"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vAlign w:val="center"/>
        </w:tcPr>
        <w:p w14:paraId="2E3A3F7B" w14:textId="127B74A3"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73</w:t>
          </w:r>
          <w:r>
            <w:rPr>
              <w:b/>
              <w:color w:val="000000"/>
            </w:rPr>
            <w:fldChar w:fldCharType="end"/>
          </w:r>
        </w:p>
      </w:tc>
      <w:tc>
        <w:tcPr>
          <w:tcW w:w="0" w:type="auto"/>
          <w:tcMar>
            <w:top w:w="0" w:type="dxa"/>
            <w:left w:w="60" w:type="dxa"/>
            <w:bottom w:w="80" w:type="dxa"/>
            <w:right w:w="60" w:type="dxa"/>
          </w:tcMar>
          <w:vAlign w:val="center"/>
        </w:tcPr>
        <w:p w14:paraId="0BA20D2E" w14:textId="77777777" w:rsidR="00AE33B9" w:rsidRDefault="00AE33B9">
          <w:pPr>
            <w:jc w:val="right"/>
            <w:rPr>
              <w:b/>
              <w:color w:val="000000"/>
              <w:sz w:val="32"/>
            </w:rPr>
          </w:pPr>
          <w:r>
            <w:rPr>
              <w:b/>
              <w:color w:val="000000"/>
              <w:sz w:val="32"/>
            </w:rPr>
            <w:t>BG</w:t>
          </w:r>
        </w:p>
      </w:tc>
    </w:tr>
  </w:tbl>
  <w:p w14:paraId="53DF215E" w14:textId="77777777" w:rsidR="00AE33B9" w:rsidRDefault="00AE33B9">
    <w:pPr>
      <w:rPr>
        <w:b/>
        <w:color w:val="00000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29C7" w14:textId="77777777" w:rsidR="00AE33B9" w:rsidRDefault="00AE33B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80D0" w14:textId="77777777" w:rsidR="00AE33B9" w:rsidRDefault="00AE33B9"/>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0A51" w14:textId="77777777" w:rsidR="00AE33B9" w:rsidRDefault="00AE33B9"/>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AE33B9" w14:paraId="6794A045" w14:textId="77777777">
      <w:tc>
        <w:tcPr>
          <w:tcW w:w="0" w:type="auto"/>
          <w:tcMar>
            <w:top w:w="0" w:type="dxa"/>
            <w:left w:w="60" w:type="dxa"/>
            <w:bottom w:w="80" w:type="dxa"/>
            <w:right w:w="60" w:type="dxa"/>
          </w:tcMar>
        </w:tcPr>
        <w:p w14:paraId="6316DC22"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tcPr>
        <w:p w14:paraId="7F080081" w14:textId="7DD0E81C"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74</w:t>
          </w:r>
          <w:r>
            <w:rPr>
              <w:b/>
              <w:color w:val="000000"/>
            </w:rPr>
            <w:fldChar w:fldCharType="end"/>
          </w:r>
        </w:p>
      </w:tc>
      <w:tc>
        <w:tcPr>
          <w:tcW w:w="0" w:type="auto"/>
          <w:tcMar>
            <w:top w:w="0" w:type="dxa"/>
            <w:left w:w="60" w:type="dxa"/>
            <w:bottom w:w="80" w:type="dxa"/>
            <w:right w:w="60" w:type="dxa"/>
          </w:tcMar>
        </w:tcPr>
        <w:p w14:paraId="7108543D" w14:textId="77777777" w:rsidR="00AE33B9" w:rsidRDefault="00AE33B9">
          <w:pPr>
            <w:jc w:val="right"/>
            <w:rPr>
              <w:b/>
              <w:color w:val="000000"/>
              <w:sz w:val="32"/>
            </w:rPr>
          </w:pPr>
          <w:r>
            <w:rPr>
              <w:b/>
              <w:color w:val="000000"/>
              <w:sz w:val="32"/>
            </w:rPr>
            <w:t>BG</w:t>
          </w:r>
        </w:p>
      </w:tc>
    </w:tr>
  </w:tbl>
  <w:p w14:paraId="4BD55780" w14:textId="77777777" w:rsidR="00AE33B9" w:rsidRDefault="00AE33B9">
    <w:pPr>
      <w:rPr>
        <w:b/>
        <w:color w:val="00000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BC93" w14:textId="77777777" w:rsidR="00AE33B9" w:rsidRDefault="00AE33B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AE33B9" w14:paraId="329A8C9E" w14:textId="77777777">
      <w:trPr>
        <w:trHeight w:val="160"/>
      </w:trPr>
      <w:tc>
        <w:tcPr>
          <w:tcW w:w="0" w:type="auto"/>
          <w:tcMar>
            <w:top w:w="0" w:type="dxa"/>
            <w:left w:w="60" w:type="dxa"/>
            <w:bottom w:w="80" w:type="dxa"/>
            <w:right w:w="60" w:type="dxa"/>
          </w:tcMar>
        </w:tcPr>
        <w:p w14:paraId="06FDC90A"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tcPr>
        <w:p w14:paraId="51164A17" w14:textId="7ABAFD86"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14</w:t>
          </w:r>
          <w:r>
            <w:rPr>
              <w:b/>
              <w:color w:val="000000"/>
            </w:rPr>
            <w:fldChar w:fldCharType="end"/>
          </w:r>
        </w:p>
      </w:tc>
      <w:tc>
        <w:tcPr>
          <w:tcW w:w="0" w:type="auto"/>
          <w:tcMar>
            <w:top w:w="0" w:type="dxa"/>
            <w:left w:w="60" w:type="dxa"/>
            <w:bottom w:w="80" w:type="dxa"/>
            <w:right w:w="60" w:type="dxa"/>
          </w:tcMar>
        </w:tcPr>
        <w:p w14:paraId="5F253CCE" w14:textId="77777777" w:rsidR="00AE33B9" w:rsidRDefault="00AE33B9">
          <w:pPr>
            <w:jc w:val="right"/>
            <w:rPr>
              <w:b/>
              <w:color w:val="000000"/>
              <w:sz w:val="32"/>
            </w:rPr>
          </w:pPr>
          <w:r>
            <w:rPr>
              <w:b/>
              <w:color w:val="000000"/>
              <w:sz w:val="32"/>
            </w:rPr>
            <w:t>BG</w:t>
          </w:r>
        </w:p>
      </w:tc>
    </w:tr>
  </w:tbl>
  <w:p w14:paraId="6E1164CF" w14:textId="77777777" w:rsidR="00AE33B9" w:rsidRDefault="00AE33B9">
    <w:pPr>
      <w:rPr>
        <w:b/>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F324" w14:textId="77777777" w:rsidR="00AE33B9" w:rsidRDefault="00AE33B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73AC" w14:textId="77777777" w:rsidR="00AE33B9" w:rsidRDefault="00AE33B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295"/>
      <w:gridCol w:w="2592"/>
      <w:gridCol w:w="6295"/>
    </w:tblGrid>
    <w:tr w:rsidR="00AE33B9" w14:paraId="520CD134" w14:textId="77777777">
      <w:trPr>
        <w:trHeight w:val="160"/>
      </w:trPr>
      <w:tc>
        <w:tcPr>
          <w:tcW w:w="0" w:type="auto"/>
          <w:tcMar>
            <w:top w:w="0" w:type="dxa"/>
            <w:left w:w="60" w:type="dxa"/>
            <w:bottom w:w="80" w:type="dxa"/>
            <w:right w:w="60" w:type="dxa"/>
          </w:tcMar>
        </w:tcPr>
        <w:p w14:paraId="7DEDAFDE" w14:textId="77777777" w:rsidR="00AE33B9" w:rsidRDefault="00AE33B9">
          <w:pPr>
            <w:rPr>
              <w:b/>
              <w:color w:val="000000"/>
            </w:rPr>
          </w:pPr>
          <w:r>
            <w:rPr>
              <w:b/>
              <w:color w:val="000000"/>
              <w:sz w:val="32"/>
            </w:rPr>
            <w:t>BG</w:t>
          </w:r>
        </w:p>
      </w:tc>
      <w:tc>
        <w:tcPr>
          <w:tcW w:w="0" w:type="auto"/>
          <w:tcMar>
            <w:top w:w="0" w:type="dxa"/>
            <w:left w:w="60" w:type="dxa"/>
            <w:bottom w:w="80" w:type="dxa"/>
            <w:right w:w="60" w:type="dxa"/>
          </w:tcMar>
        </w:tcPr>
        <w:p w14:paraId="2280DBAD" w14:textId="0D62863B" w:rsidR="00AE33B9" w:rsidRDefault="00AE33B9">
          <w:pPr>
            <w:jc w:val="center"/>
            <w:rPr>
              <w:b/>
              <w:color w:val="000000"/>
              <w:sz w:val="32"/>
            </w:rPr>
          </w:pPr>
          <w:r>
            <w:rPr>
              <w:b/>
              <w:color w:val="000000"/>
            </w:rPr>
            <w:fldChar w:fldCharType="begin"/>
          </w:r>
          <w:r>
            <w:rPr>
              <w:b/>
              <w:color w:val="000000"/>
            </w:rPr>
            <w:instrText>PAGE</w:instrText>
          </w:r>
          <w:r>
            <w:rPr>
              <w:b/>
              <w:color w:val="000000"/>
            </w:rPr>
            <w:fldChar w:fldCharType="separate"/>
          </w:r>
          <w:r w:rsidR="009E72F5">
            <w:rPr>
              <w:b/>
              <w:color w:val="000000"/>
            </w:rPr>
            <w:t>19</w:t>
          </w:r>
          <w:r>
            <w:rPr>
              <w:b/>
              <w:color w:val="000000"/>
            </w:rPr>
            <w:fldChar w:fldCharType="end"/>
          </w:r>
        </w:p>
      </w:tc>
      <w:tc>
        <w:tcPr>
          <w:tcW w:w="0" w:type="auto"/>
          <w:tcMar>
            <w:top w:w="0" w:type="dxa"/>
            <w:left w:w="60" w:type="dxa"/>
            <w:bottom w:w="80" w:type="dxa"/>
            <w:right w:w="60" w:type="dxa"/>
          </w:tcMar>
        </w:tcPr>
        <w:p w14:paraId="4478316C" w14:textId="77777777" w:rsidR="00AE33B9" w:rsidRDefault="00AE33B9">
          <w:pPr>
            <w:jc w:val="right"/>
            <w:rPr>
              <w:b/>
              <w:color w:val="000000"/>
              <w:sz w:val="32"/>
            </w:rPr>
          </w:pPr>
          <w:r>
            <w:rPr>
              <w:b/>
              <w:color w:val="000000"/>
              <w:sz w:val="32"/>
            </w:rPr>
            <w:t>BG</w:t>
          </w:r>
        </w:p>
      </w:tc>
    </w:tr>
  </w:tbl>
  <w:p w14:paraId="50C290FB" w14:textId="77777777" w:rsidR="00AE33B9" w:rsidRDefault="00AE33B9">
    <w:pP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96A5" w14:textId="77777777" w:rsidR="00AE33B9" w:rsidRDefault="00AE33B9">
      <w:r>
        <w:separator/>
      </w:r>
    </w:p>
  </w:footnote>
  <w:footnote w:type="continuationSeparator" w:id="0">
    <w:p w14:paraId="32CA95E8" w14:textId="77777777" w:rsidR="00AE33B9" w:rsidRDefault="00AE3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44ED" w14:textId="77777777" w:rsidR="00AE33B9" w:rsidRDefault="00AE33B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6FD2" w14:textId="77777777" w:rsidR="00AE33B9" w:rsidRDefault="00AE33B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4F1A" w14:textId="77777777" w:rsidR="00AE33B9" w:rsidRDefault="00AE33B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BFAC" w14:textId="77777777" w:rsidR="00AE33B9" w:rsidRDefault="00AE33B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3A2B" w14:textId="77777777" w:rsidR="00AE33B9" w:rsidRDefault="00AE33B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B58D" w14:textId="77777777" w:rsidR="00AE33B9" w:rsidRDefault="00AE33B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02C7" w14:textId="77777777" w:rsidR="00AE33B9" w:rsidRDefault="00AE33B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4030" w14:textId="77777777" w:rsidR="00AE33B9" w:rsidRDefault="00AE33B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9041" w14:textId="77777777" w:rsidR="00AE33B9" w:rsidRDefault="00AE33B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51D0" w14:textId="77777777" w:rsidR="00AE33B9" w:rsidRDefault="00AE33B9"/>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AB66" w14:textId="77777777" w:rsidR="00AE33B9" w:rsidRDefault="00AE33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9DDC" w14:textId="77777777" w:rsidR="00AE33B9" w:rsidRDefault="00AE33B9"/>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B3A8" w14:textId="77777777" w:rsidR="00AE33B9" w:rsidRDefault="00AE33B9"/>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26AC" w14:textId="77777777" w:rsidR="00AE33B9" w:rsidRDefault="00AE33B9"/>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0BFE" w14:textId="77777777" w:rsidR="00AE33B9" w:rsidRDefault="00AE33B9"/>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ED28" w14:textId="77777777" w:rsidR="00AE33B9" w:rsidRDefault="00AE33B9"/>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DBBD" w14:textId="77777777" w:rsidR="00AE33B9" w:rsidRDefault="00AE33B9"/>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F403" w14:textId="77777777" w:rsidR="00AE33B9" w:rsidRDefault="00AE33B9"/>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9E83" w14:textId="77777777" w:rsidR="00AE33B9" w:rsidRDefault="00AE33B9"/>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D8A6" w14:textId="77777777" w:rsidR="00AE33B9" w:rsidRDefault="00AE33B9"/>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C1CA" w14:textId="77777777" w:rsidR="00AE33B9" w:rsidRDefault="00AE33B9"/>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CC2F" w14:textId="77777777" w:rsidR="00AE33B9" w:rsidRDefault="00AE33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056A" w14:textId="77777777" w:rsidR="00AE33B9" w:rsidRDefault="00AE33B9"/>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0135" w14:textId="77777777" w:rsidR="00AE33B9" w:rsidRDefault="00AE33B9"/>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C550" w14:textId="77777777" w:rsidR="00AE33B9" w:rsidRDefault="00AE33B9"/>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17A2" w14:textId="77777777" w:rsidR="00AE33B9" w:rsidRDefault="00AE33B9"/>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CFF3" w14:textId="77777777" w:rsidR="00AE33B9" w:rsidRDefault="00AE33B9"/>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215F" w14:textId="77777777" w:rsidR="00AE33B9" w:rsidRDefault="00AE33B9"/>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1127" w14:textId="77777777" w:rsidR="00AE33B9" w:rsidRDefault="00AE33B9"/>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83FF" w14:textId="77777777" w:rsidR="00AE33B9" w:rsidRDefault="00AE33B9"/>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9FEF" w14:textId="77777777" w:rsidR="00AE33B9" w:rsidRDefault="00AE33B9"/>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48D8" w14:textId="77777777" w:rsidR="00AE33B9" w:rsidRDefault="00AE33B9"/>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0F02" w14:textId="77777777" w:rsidR="00AE33B9" w:rsidRDefault="00AE33B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48F2" w14:textId="77777777" w:rsidR="00AE33B9" w:rsidRDefault="00AE33B9"/>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A621" w14:textId="77777777" w:rsidR="00AE33B9" w:rsidRDefault="00AE33B9"/>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F330" w14:textId="77777777" w:rsidR="00AE33B9" w:rsidRDefault="00AE33B9"/>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F5F5" w14:textId="77777777" w:rsidR="00AE33B9" w:rsidRDefault="00AE33B9"/>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E10E" w14:textId="77777777" w:rsidR="00AE33B9" w:rsidRDefault="00AE33B9"/>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3132" w14:textId="77777777" w:rsidR="00AE33B9" w:rsidRDefault="00AE33B9"/>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E5AD" w14:textId="77777777" w:rsidR="00AE33B9" w:rsidRDefault="00AE33B9"/>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71BD" w14:textId="77777777" w:rsidR="00AE33B9" w:rsidRDefault="00AE33B9"/>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C6C3" w14:textId="77777777" w:rsidR="00AE33B9" w:rsidRDefault="00AE33B9"/>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08A8" w14:textId="77777777" w:rsidR="00AE33B9" w:rsidRDefault="00AE33B9"/>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0393" w14:textId="77777777" w:rsidR="00AE33B9" w:rsidRDefault="00AE33B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62F5" w14:textId="77777777" w:rsidR="00AE33B9" w:rsidRDefault="00AE33B9"/>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4E3F" w14:textId="77777777" w:rsidR="00AE33B9" w:rsidRDefault="00AE33B9"/>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C169" w14:textId="77777777" w:rsidR="00AE33B9" w:rsidRDefault="00AE33B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308C" w14:textId="77777777" w:rsidR="00AE33B9" w:rsidRDefault="00AE33B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5D16" w14:textId="77777777" w:rsidR="00AE33B9" w:rsidRDefault="00AE33B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0CD8" w14:textId="77777777" w:rsidR="00AE33B9" w:rsidRDefault="00AE33B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E4CA" w14:textId="77777777" w:rsidR="00AE33B9" w:rsidRDefault="00AE33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7649D"/>
    <w:multiLevelType w:val="hybridMultilevel"/>
    <w:tmpl w:val="010EED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92822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20F6E"/>
    <w:rsid w:val="000579C9"/>
    <w:rsid w:val="00085591"/>
    <w:rsid w:val="00094A5D"/>
    <w:rsid w:val="000E63D2"/>
    <w:rsid w:val="00167BEC"/>
    <w:rsid w:val="00177F4B"/>
    <w:rsid w:val="001E2F4C"/>
    <w:rsid w:val="00220D10"/>
    <w:rsid w:val="00235B8B"/>
    <w:rsid w:val="002B267E"/>
    <w:rsid w:val="002B4B08"/>
    <w:rsid w:val="002C08FD"/>
    <w:rsid w:val="002C20FF"/>
    <w:rsid w:val="002F6D49"/>
    <w:rsid w:val="0030769D"/>
    <w:rsid w:val="003772A3"/>
    <w:rsid w:val="003D7373"/>
    <w:rsid w:val="003E2E38"/>
    <w:rsid w:val="004248FD"/>
    <w:rsid w:val="004568F4"/>
    <w:rsid w:val="00465EC0"/>
    <w:rsid w:val="004847C7"/>
    <w:rsid w:val="004A582B"/>
    <w:rsid w:val="004A60D0"/>
    <w:rsid w:val="004C3240"/>
    <w:rsid w:val="004C5EFC"/>
    <w:rsid w:val="004E65DF"/>
    <w:rsid w:val="00524AD0"/>
    <w:rsid w:val="00547463"/>
    <w:rsid w:val="005510D7"/>
    <w:rsid w:val="005603D3"/>
    <w:rsid w:val="00585400"/>
    <w:rsid w:val="00632441"/>
    <w:rsid w:val="00651AAF"/>
    <w:rsid w:val="00653C73"/>
    <w:rsid w:val="00681211"/>
    <w:rsid w:val="00697DAC"/>
    <w:rsid w:val="006C7331"/>
    <w:rsid w:val="006F2FBB"/>
    <w:rsid w:val="007308A4"/>
    <w:rsid w:val="00755896"/>
    <w:rsid w:val="007563C5"/>
    <w:rsid w:val="00762B6C"/>
    <w:rsid w:val="00797580"/>
    <w:rsid w:val="007A6C98"/>
    <w:rsid w:val="007F09B1"/>
    <w:rsid w:val="00805365"/>
    <w:rsid w:val="00810A80"/>
    <w:rsid w:val="00846B34"/>
    <w:rsid w:val="00847DA2"/>
    <w:rsid w:val="008641CF"/>
    <w:rsid w:val="00877A96"/>
    <w:rsid w:val="008854AD"/>
    <w:rsid w:val="00885C34"/>
    <w:rsid w:val="00894EB3"/>
    <w:rsid w:val="008B6D40"/>
    <w:rsid w:val="0098574A"/>
    <w:rsid w:val="009C786A"/>
    <w:rsid w:val="009E72F5"/>
    <w:rsid w:val="00A71A79"/>
    <w:rsid w:val="00A77B3E"/>
    <w:rsid w:val="00AA79B4"/>
    <w:rsid w:val="00AD6101"/>
    <w:rsid w:val="00AE33B9"/>
    <w:rsid w:val="00B65C60"/>
    <w:rsid w:val="00C101EB"/>
    <w:rsid w:val="00C229F0"/>
    <w:rsid w:val="00C23BC6"/>
    <w:rsid w:val="00C3694A"/>
    <w:rsid w:val="00C5126E"/>
    <w:rsid w:val="00C60676"/>
    <w:rsid w:val="00CA2A55"/>
    <w:rsid w:val="00CA4033"/>
    <w:rsid w:val="00CB5C33"/>
    <w:rsid w:val="00CC3E42"/>
    <w:rsid w:val="00CC3FDC"/>
    <w:rsid w:val="00CC5168"/>
    <w:rsid w:val="00CD2606"/>
    <w:rsid w:val="00CE60A2"/>
    <w:rsid w:val="00D778E7"/>
    <w:rsid w:val="00D97D1D"/>
    <w:rsid w:val="00DA6815"/>
    <w:rsid w:val="00DB140D"/>
    <w:rsid w:val="00DB5A2C"/>
    <w:rsid w:val="00E11A06"/>
    <w:rsid w:val="00E47BDF"/>
    <w:rsid w:val="00E62050"/>
    <w:rsid w:val="00E73F44"/>
    <w:rsid w:val="00E76F74"/>
    <w:rsid w:val="00E910E8"/>
    <w:rsid w:val="00EB25C3"/>
    <w:rsid w:val="00ED0318"/>
    <w:rsid w:val="00F04514"/>
    <w:rsid w:val="00F173D5"/>
    <w:rsid w:val="00F560BB"/>
    <w:rsid w:val="00FA13C2"/>
    <w:rsid w:val="00FB5D9F"/>
    <w:rsid w:val="00FE44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20CBE"/>
  <w15:docId w15:val="{97707C24-EB23-4471-8006-4FE4F38C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5BCE"/>
  </w:style>
  <w:style w:type="character" w:styleId="Hyperlink">
    <w:name w:val="Hyperlink"/>
    <w:basedOn w:val="DefaultParagraphFont"/>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paragraph" w:styleId="TOC4">
    <w:name w:val="toc 4"/>
    <w:basedOn w:val="Normal"/>
    <w:next w:val="Normal"/>
    <w:autoRedefine/>
    <w:uiPriority w:val="39"/>
    <w:rsid w:val="00805BCE"/>
    <w:pPr>
      <w:ind w:left="720"/>
    </w:pPr>
  </w:style>
  <w:style w:type="character" w:customStyle="1" w:styleId="a">
    <w:name w:val="Други_"/>
    <w:basedOn w:val="DefaultParagraphFont"/>
    <w:link w:val="a0"/>
    <w:rsid w:val="00C60676"/>
  </w:style>
  <w:style w:type="paragraph" w:customStyle="1" w:styleId="a0">
    <w:name w:val="Други"/>
    <w:basedOn w:val="Normal"/>
    <w:link w:val="a"/>
    <w:rsid w:val="00C60676"/>
    <w:pPr>
      <w:widowControl w:val="0"/>
      <w:spacing w:after="100"/>
    </w:pPr>
    <w:rPr>
      <w:sz w:val="20"/>
      <w:szCs w:val="20"/>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2B4B08"/>
    <w:pPr>
      <w:ind w:left="720"/>
      <w:contextualSpacing/>
      <w:jc w:val="both"/>
    </w:pPr>
    <w:rPr>
      <w:rFonts w:eastAsiaTheme="minorHAnsi"/>
      <w:noProof w:val="0"/>
      <w:lang w:val="bg-BG"/>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2B4B08"/>
    <w:rPr>
      <w:rFonts w:eastAsiaTheme="minorHAnsi"/>
      <w:noProof w:val="0"/>
      <w:sz w:val="24"/>
      <w:szCs w:val="24"/>
      <w:lang w:val="bg-BG"/>
    </w:rPr>
  </w:style>
  <w:style w:type="paragraph" w:styleId="Header">
    <w:name w:val="header"/>
    <w:basedOn w:val="Normal"/>
    <w:link w:val="HeaderChar"/>
    <w:unhideWhenUsed/>
    <w:rsid w:val="00681211"/>
    <w:pPr>
      <w:tabs>
        <w:tab w:val="center" w:pos="4536"/>
        <w:tab w:val="right" w:pos="9072"/>
      </w:tabs>
    </w:pPr>
  </w:style>
  <w:style w:type="character" w:customStyle="1" w:styleId="HeaderChar">
    <w:name w:val="Header Char"/>
    <w:basedOn w:val="DefaultParagraphFont"/>
    <w:link w:val="Header"/>
    <w:rsid w:val="00681211"/>
    <w:rPr>
      <w:sz w:val="24"/>
      <w:szCs w:val="24"/>
    </w:rPr>
  </w:style>
  <w:style w:type="paragraph" w:styleId="Footer">
    <w:name w:val="footer"/>
    <w:basedOn w:val="Normal"/>
    <w:link w:val="FooterChar"/>
    <w:unhideWhenUsed/>
    <w:rsid w:val="00681211"/>
    <w:pPr>
      <w:tabs>
        <w:tab w:val="center" w:pos="4536"/>
        <w:tab w:val="right" w:pos="9072"/>
      </w:tabs>
    </w:pPr>
  </w:style>
  <w:style w:type="character" w:customStyle="1" w:styleId="FooterChar">
    <w:name w:val="Footer Char"/>
    <w:basedOn w:val="DefaultParagraphFont"/>
    <w:link w:val="Footer"/>
    <w:rsid w:val="00681211"/>
    <w:rPr>
      <w:sz w:val="24"/>
      <w:szCs w:val="24"/>
    </w:rPr>
  </w:style>
  <w:style w:type="paragraph" w:styleId="BalloonText">
    <w:name w:val="Balloon Text"/>
    <w:basedOn w:val="Normal"/>
    <w:link w:val="BalloonTextChar"/>
    <w:semiHidden/>
    <w:unhideWhenUsed/>
    <w:rsid w:val="0098574A"/>
    <w:rPr>
      <w:rFonts w:ascii="Segoe UI" w:hAnsi="Segoe UI" w:cs="Segoe UI"/>
      <w:sz w:val="18"/>
      <w:szCs w:val="18"/>
    </w:rPr>
  </w:style>
  <w:style w:type="character" w:customStyle="1" w:styleId="BalloonTextChar">
    <w:name w:val="Balloon Text Char"/>
    <w:basedOn w:val="DefaultParagraphFont"/>
    <w:link w:val="BalloonText"/>
    <w:semiHidden/>
    <w:rsid w:val="0098574A"/>
    <w:rPr>
      <w:rFonts w:ascii="Segoe UI" w:hAnsi="Segoe UI" w:cs="Segoe UI"/>
      <w:sz w:val="18"/>
      <w:szCs w:val="18"/>
    </w:rPr>
  </w:style>
  <w:style w:type="paragraph" w:styleId="HTMLPreformatted">
    <w:name w:val="HTML Preformatted"/>
    <w:basedOn w:val="Normal"/>
    <w:link w:val="HTMLPreformattedChar"/>
    <w:semiHidden/>
    <w:unhideWhenUsed/>
    <w:rsid w:val="00524AD0"/>
    <w:rPr>
      <w:rFonts w:ascii="Consolas" w:hAnsi="Consolas"/>
      <w:sz w:val="20"/>
      <w:szCs w:val="20"/>
    </w:rPr>
  </w:style>
  <w:style w:type="character" w:customStyle="1" w:styleId="HTMLPreformattedChar">
    <w:name w:val="HTML Preformatted Char"/>
    <w:basedOn w:val="DefaultParagraphFont"/>
    <w:link w:val="HTMLPreformatted"/>
    <w:semiHidden/>
    <w:rsid w:val="00524AD0"/>
    <w:rPr>
      <w:rFonts w:ascii="Consolas" w:hAnsi="Consolas"/>
    </w:rPr>
  </w:style>
  <w:style w:type="paragraph" w:customStyle="1" w:styleId="Default">
    <w:name w:val="Default"/>
    <w:rsid w:val="004847C7"/>
    <w:pPr>
      <w:autoSpaceDE w:val="0"/>
      <w:autoSpaceDN w:val="0"/>
      <w:adjustRightInd w:val="0"/>
    </w:pPr>
    <w:rPr>
      <w:noProof w:val="0"/>
      <w:color w:val="000000"/>
      <w:sz w:val="24"/>
      <w:szCs w:val="24"/>
      <w:lang w:val="bg-BG"/>
    </w:rPr>
  </w:style>
  <w:style w:type="paragraph" w:styleId="Revision">
    <w:name w:val="Revision"/>
    <w:hidden/>
    <w:uiPriority w:val="99"/>
    <w:semiHidden/>
    <w:rsid w:val="00DA68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6110">
      <w:bodyDiv w:val="1"/>
      <w:marLeft w:val="0"/>
      <w:marRight w:val="0"/>
      <w:marTop w:val="0"/>
      <w:marBottom w:val="0"/>
      <w:divBdr>
        <w:top w:val="none" w:sz="0" w:space="0" w:color="auto"/>
        <w:left w:val="none" w:sz="0" w:space="0" w:color="auto"/>
        <w:bottom w:val="none" w:sz="0" w:space="0" w:color="auto"/>
        <w:right w:val="none" w:sz="0" w:space="0" w:color="auto"/>
      </w:divBdr>
    </w:div>
    <w:div w:id="258024444">
      <w:bodyDiv w:val="1"/>
      <w:marLeft w:val="0"/>
      <w:marRight w:val="0"/>
      <w:marTop w:val="0"/>
      <w:marBottom w:val="0"/>
      <w:divBdr>
        <w:top w:val="none" w:sz="0" w:space="0" w:color="auto"/>
        <w:left w:val="none" w:sz="0" w:space="0" w:color="auto"/>
        <w:bottom w:val="none" w:sz="0" w:space="0" w:color="auto"/>
        <w:right w:val="none" w:sz="0" w:space="0" w:color="auto"/>
      </w:divBdr>
    </w:div>
    <w:div w:id="613102432">
      <w:bodyDiv w:val="1"/>
      <w:marLeft w:val="0"/>
      <w:marRight w:val="0"/>
      <w:marTop w:val="0"/>
      <w:marBottom w:val="0"/>
      <w:divBdr>
        <w:top w:val="none" w:sz="0" w:space="0" w:color="auto"/>
        <w:left w:val="none" w:sz="0" w:space="0" w:color="auto"/>
        <w:bottom w:val="none" w:sz="0" w:space="0" w:color="auto"/>
        <w:right w:val="none" w:sz="0" w:space="0" w:color="auto"/>
      </w:divBdr>
    </w:div>
    <w:div w:id="830371280">
      <w:bodyDiv w:val="1"/>
      <w:marLeft w:val="0"/>
      <w:marRight w:val="0"/>
      <w:marTop w:val="0"/>
      <w:marBottom w:val="0"/>
      <w:divBdr>
        <w:top w:val="none" w:sz="0" w:space="0" w:color="auto"/>
        <w:left w:val="none" w:sz="0" w:space="0" w:color="auto"/>
        <w:bottom w:val="none" w:sz="0" w:space="0" w:color="auto"/>
        <w:right w:val="none" w:sz="0" w:space="0" w:color="auto"/>
      </w:divBdr>
    </w:div>
    <w:div w:id="1808087502">
      <w:bodyDiv w:val="1"/>
      <w:marLeft w:val="0"/>
      <w:marRight w:val="0"/>
      <w:marTop w:val="0"/>
      <w:marBottom w:val="0"/>
      <w:divBdr>
        <w:top w:val="none" w:sz="0" w:space="0" w:color="auto"/>
        <w:left w:val="none" w:sz="0" w:space="0" w:color="auto"/>
        <w:bottom w:val="none" w:sz="0" w:space="0" w:color="auto"/>
        <w:right w:val="none" w:sz="0" w:space="0" w:color="auto"/>
      </w:divBdr>
    </w:div>
    <w:div w:id="1873565856">
      <w:bodyDiv w:val="1"/>
      <w:marLeft w:val="0"/>
      <w:marRight w:val="0"/>
      <w:marTop w:val="0"/>
      <w:marBottom w:val="0"/>
      <w:divBdr>
        <w:top w:val="none" w:sz="0" w:space="0" w:color="auto"/>
        <w:left w:val="none" w:sz="0" w:space="0" w:color="auto"/>
        <w:bottom w:val="none" w:sz="0" w:space="0" w:color="auto"/>
        <w:right w:val="none" w:sz="0" w:space="0" w:color="auto"/>
      </w:divBdr>
    </w:div>
    <w:div w:id="1967082627">
      <w:bodyDiv w:val="1"/>
      <w:marLeft w:val="0"/>
      <w:marRight w:val="0"/>
      <w:marTop w:val="0"/>
      <w:marBottom w:val="0"/>
      <w:divBdr>
        <w:top w:val="none" w:sz="0" w:space="0" w:color="auto"/>
        <w:left w:val="none" w:sz="0" w:space="0" w:color="auto"/>
        <w:bottom w:val="none" w:sz="0" w:space="0" w:color="auto"/>
        <w:right w:val="none" w:sz="0" w:space="0" w:color="auto"/>
      </w:divBdr>
    </w:div>
    <w:div w:id="2130002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footer" Target="footer49.xml"/><Relationship Id="rId21" Type="http://schemas.openxmlformats.org/officeDocument/2006/relationships/header" Target="header6.xml"/><Relationship Id="rId42" Type="http://schemas.openxmlformats.org/officeDocument/2006/relationships/header" Target="header17.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hyperlink" Target="https://app.eop.bg/today/reporting/bulletin" TargetMode="External"/><Relationship Id="rId84" Type="http://schemas.openxmlformats.org/officeDocument/2006/relationships/footer" Target="footer32.xml"/><Relationship Id="rId89" Type="http://schemas.openxmlformats.org/officeDocument/2006/relationships/header" Target="header35.xml"/><Relationship Id="rId112" Type="http://schemas.openxmlformats.org/officeDocument/2006/relationships/header" Target="header46.xml"/><Relationship Id="rId16" Type="http://schemas.openxmlformats.org/officeDocument/2006/relationships/footer" Target="footer4.xml"/><Relationship Id="rId107" Type="http://schemas.openxmlformats.org/officeDocument/2006/relationships/header" Target="header44.xml"/><Relationship Id="rId11" Type="http://schemas.openxmlformats.org/officeDocument/2006/relationships/header" Target="header1.xml"/><Relationship Id="rId32" Type="http://schemas.openxmlformats.org/officeDocument/2006/relationships/footer" Target="footer12.xml"/><Relationship Id="rId37" Type="http://schemas.openxmlformats.org/officeDocument/2006/relationships/footer" Target="footer14.xml"/><Relationship Id="rId53" Type="http://schemas.openxmlformats.org/officeDocument/2006/relationships/header" Target="header22.xml"/><Relationship Id="rId58" Type="http://schemas.openxmlformats.org/officeDocument/2006/relationships/footer" Target="footer25.xml"/><Relationship Id="rId74" Type="http://schemas.openxmlformats.org/officeDocument/2006/relationships/hyperlink" Target="https://www.eufunds.bg/bg/node/8224" TargetMode="External"/><Relationship Id="rId79" Type="http://schemas.openxmlformats.org/officeDocument/2006/relationships/header" Target="header30.xml"/><Relationship Id="rId102" Type="http://schemas.openxmlformats.org/officeDocument/2006/relationships/footer" Target="footer41.xml"/><Relationship Id="rId123" Type="http://schemas.openxmlformats.org/officeDocument/2006/relationships/footer" Target="footer52.xml"/><Relationship Id="rId5" Type="http://schemas.openxmlformats.org/officeDocument/2006/relationships/styles" Target="styles.xml"/><Relationship Id="rId90" Type="http://schemas.openxmlformats.org/officeDocument/2006/relationships/footer" Target="footer35.xml"/><Relationship Id="rId95" Type="http://schemas.openxmlformats.org/officeDocument/2006/relationships/header" Target="header38.xml"/><Relationship Id="rId22" Type="http://schemas.openxmlformats.org/officeDocument/2006/relationships/footer" Target="footer7.xml"/><Relationship Id="rId27" Type="http://schemas.openxmlformats.org/officeDocument/2006/relationships/header" Target="header9.xml"/><Relationship Id="rId43" Type="http://schemas.openxmlformats.org/officeDocument/2006/relationships/footer" Target="footer17.xml"/><Relationship Id="rId48" Type="http://schemas.openxmlformats.org/officeDocument/2006/relationships/header" Target="header20.xml"/><Relationship Id="rId64" Type="http://schemas.openxmlformats.org/officeDocument/2006/relationships/footer" Target="footer28.xml"/><Relationship Id="rId69" Type="http://schemas.openxmlformats.org/officeDocument/2006/relationships/hyperlink" Target="https://app.eop.bg/today/reporting/statistics" TargetMode="External"/><Relationship Id="rId113" Type="http://schemas.openxmlformats.org/officeDocument/2006/relationships/header" Target="header47.xml"/><Relationship Id="rId118" Type="http://schemas.openxmlformats.org/officeDocument/2006/relationships/header" Target="header49.xml"/><Relationship Id="rId80" Type="http://schemas.openxmlformats.org/officeDocument/2006/relationships/footer" Target="footer31.xml"/><Relationship Id="rId85" Type="http://schemas.openxmlformats.org/officeDocument/2006/relationships/footer" Target="footer33.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footer" Target="footer15.xml"/><Relationship Id="rId59" Type="http://schemas.openxmlformats.org/officeDocument/2006/relationships/header" Target="header25.xml"/><Relationship Id="rId103" Type="http://schemas.openxmlformats.org/officeDocument/2006/relationships/footer" Target="footer42.xml"/><Relationship Id="rId108" Type="http://schemas.openxmlformats.org/officeDocument/2006/relationships/footer" Target="footer44.xml"/><Relationship Id="rId124" Type="http://schemas.openxmlformats.org/officeDocument/2006/relationships/fontTable" Target="fontTable.xml"/><Relationship Id="rId54" Type="http://schemas.openxmlformats.org/officeDocument/2006/relationships/header" Target="header23.xml"/><Relationship Id="rId70" Type="http://schemas.openxmlformats.org/officeDocument/2006/relationships/hyperlink" Target="https://www.aop.bg" TargetMode="External"/><Relationship Id="rId75" Type="http://schemas.openxmlformats.org/officeDocument/2006/relationships/header" Target="header28.xml"/><Relationship Id="rId91" Type="http://schemas.openxmlformats.org/officeDocument/2006/relationships/footer" Target="footer36.xml"/><Relationship Id="rId96" Type="http://schemas.openxmlformats.org/officeDocument/2006/relationships/footer" Target="footer38.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eader" Target="header7.xml"/><Relationship Id="rId28" Type="http://schemas.openxmlformats.org/officeDocument/2006/relationships/footer" Target="footer10.xml"/><Relationship Id="rId49" Type="http://schemas.openxmlformats.org/officeDocument/2006/relationships/footer" Target="footer20.xml"/><Relationship Id="rId114" Type="http://schemas.openxmlformats.org/officeDocument/2006/relationships/footer" Target="footer47.xml"/><Relationship Id="rId119" Type="http://schemas.openxmlformats.org/officeDocument/2006/relationships/header" Target="header50.xml"/><Relationship Id="rId44" Type="http://schemas.openxmlformats.org/officeDocument/2006/relationships/footer" Target="footer18.xml"/><Relationship Id="rId60" Type="http://schemas.openxmlformats.org/officeDocument/2006/relationships/header" Target="header26.xml"/><Relationship Id="rId65" Type="http://schemas.openxmlformats.org/officeDocument/2006/relationships/hyperlink" Target="https://www.eufunds.bg/sites/default/files/uploads/eip/docs/2021-09/%D0%97%D0%98%D0%94%D0%97%D0%9E%D0%9F.pdf" TargetMode="External"/><Relationship Id="rId81" Type="http://schemas.openxmlformats.org/officeDocument/2006/relationships/hyperlink" Target="http://www.eufunds.bg" TargetMode="External"/><Relationship Id="rId86" Type="http://schemas.openxmlformats.org/officeDocument/2006/relationships/header" Target="header33.xml"/><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eader" Target="header15.xml"/><Relationship Id="rId109" Type="http://schemas.openxmlformats.org/officeDocument/2006/relationships/footer" Target="footer45.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footer" Target="footer23.xml"/><Relationship Id="rId76" Type="http://schemas.openxmlformats.org/officeDocument/2006/relationships/header" Target="header29.xml"/><Relationship Id="rId97" Type="http://schemas.openxmlformats.org/officeDocument/2006/relationships/footer" Target="footer39.xml"/><Relationship Id="rId104" Type="http://schemas.openxmlformats.org/officeDocument/2006/relationships/header" Target="header42.xml"/><Relationship Id="rId120" Type="http://schemas.openxmlformats.org/officeDocument/2006/relationships/footer" Target="footer50.xml"/><Relationship Id="rId125"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www.eufunds.bg/bg/node/8223" TargetMode="External"/><Relationship Id="rId92" Type="http://schemas.openxmlformats.org/officeDocument/2006/relationships/header" Target="header36.xml"/><Relationship Id="rId2" Type="http://schemas.openxmlformats.org/officeDocument/2006/relationships/customXml" Target="../customXml/item2.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footer" Target="footer16.xml"/><Relationship Id="rId45" Type="http://schemas.openxmlformats.org/officeDocument/2006/relationships/header" Target="header18.xml"/><Relationship Id="rId66" Type="http://schemas.openxmlformats.org/officeDocument/2006/relationships/hyperlink" Target="https://www.eop.bg" TargetMode="External"/><Relationship Id="rId87" Type="http://schemas.openxmlformats.org/officeDocument/2006/relationships/footer" Target="footer34.xml"/><Relationship Id="rId110" Type="http://schemas.openxmlformats.org/officeDocument/2006/relationships/header" Target="header45.xml"/><Relationship Id="rId115" Type="http://schemas.openxmlformats.org/officeDocument/2006/relationships/footer" Target="footer48.xml"/><Relationship Id="rId61" Type="http://schemas.openxmlformats.org/officeDocument/2006/relationships/footer" Target="footer26.xml"/><Relationship Id="rId82" Type="http://schemas.openxmlformats.org/officeDocument/2006/relationships/header" Target="header31.xml"/><Relationship Id="rId19" Type="http://schemas.openxmlformats.org/officeDocument/2006/relationships/footer" Target="footer5.xml"/><Relationship Id="rId14" Type="http://schemas.openxmlformats.org/officeDocument/2006/relationships/footer" Target="footer3.xml"/><Relationship Id="rId30" Type="http://schemas.openxmlformats.org/officeDocument/2006/relationships/header" Target="header11.xml"/><Relationship Id="rId35" Type="http://schemas.openxmlformats.org/officeDocument/2006/relationships/header" Target="header13.xml"/><Relationship Id="rId56" Type="http://schemas.openxmlformats.org/officeDocument/2006/relationships/footer" Target="footer24.xml"/><Relationship Id="rId77" Type="http://schemas.openxmlformats.org/officeDocument/2006/relationships/footer" Target="footer29.xml"/><Relationship Id="rId100" Type="http://schemas.openxmlformats.org/officeDocument/2006/relationships/header" Target="header40.xml"/><Relationship Id="rId105" Type="http://schemas.openxmlformats.org/officeDocument/2006/relationships/footer" Target="footer43.xml"/><Relationship Id="rId8" Type="http://schemas.openxmlformats.org/officeDocument/2006/relationships/footnotes" Target="footnotes.xml"/><Relationship Id="rId51" Type="http://schemas.openxmlformats.org/officeDocument/2006/relationships/header" Target="header21.xml"/><Relationship Id="rId72" Type="http://schemas.openxmlformats.org/officeDocument/2006/relationships/hyperlink" Target="https://www.mlsp.government.bg/normativni-aktove-" TargetMode="External"/><Relationship Id="rId93" Type="http://schemas.openxmlformats.org/officeDocument/2006/relationships/footer" Target="footer37.xml"/><Relationship Id="rId98" Type="http://schemas.openxmlformats.org/officeDocument/2006/relationships/header" Target="header39.xml"/><Relationship Id="rId121" Type="http://schemas.openxmlformats.org/officeDocument/2006/relationships/footer" Target="footer51.xml"/><Relationship Id="rId3" Type="http://schemas.openxmlformats.org/officeDocument/2006/relationships/customXml" Target="../customXml/item3.xml"/><Relationship Id="rId25" Type="http://schemas.openxmlformats.org/officeDocument/2006/relationships/footer" Target="footer8.xml"/><Relationship Id="rId46" Type="http://schemas.openxmlformats.org/officeDocument/2006/relationships/footer" Target="footer19.xml"/><Relationship Id="rId67" Type="http://schemas.openxmlformats.org/officeDocument/2006/relationships/hyperlink" Target="https://app.eop.bg/today" TargetMode="External"/><Relationship Id="rId116" Type="http://schemas.openxmlformats.org/officeDocument/2006/relationships/header" Target="header48.xml"/><Relationship Id="rId20" Type="http://schemas.openxmlformats.org/officeDocument/2006/relationships/footer" Target="footer6.xml"/><Relationship Id="rId41" Type="http://schemas.openxmlformats.org/officeDocument/2006/relationships/header" Target="header16.xml"/><Relationship Id="rId62" Type="http://schemas.openxmlformats.org/officeDocument/2006/relationships/footer" Target="footer27.xml"/><Relationship Id="rId83" Type="http://schemas.openxmlformats.org/officeDocument/2006/relationships/header" Target="header32.xml"/><Relationship Id="rId88" Type="http://schemas.openxmlformats.org/officeDocument/2006/relationships/header" Target="header34.xml"/><Relationship Id="rId111" Type="http://schemas.openxmlformats.org/officeDocument/2006/relationships/footer" Target="footer46.xml"/><Relationship Id="rId15" Type="http://schemas.openxmlformats.org/officeDocument/2006/relationships/header" Target="header3.xml"/><Relationship Id="rId36" Type="http://schemas.openxmlformats.org/officeDocument/2006/relationships/header" Target="header14.xml"/><Relationship Id="rId57" Type="http://schemas.openxmlformats.org/officeDocument/2006/relationships/header" Target="header24.xml"/><Relationship Id="rId106" Type="http://schemas.openxmlformats.org/officeDocument/2006/relationships/header" Target="header43.xml"/><Relationship Id="rId10" Type="http://schemas.openxmlformats.org/officeDocument/2006/relationships/footer" Target="footer1.xml"/><Relationship Id="rId31" Type="http://schemas.openxmlformats.org/officeDocument/2006/relationships/footer" Target="footer11.xml"/><Relationship Id="rId52" Type="http://schemas.openxmlformats.org/officeDocument/2006/relationships/footer" Target="footer22.xml"/><Relationship Id="rId73" Type="http://schemas.openxmlformats.org/officeDocument/2006/relationships/hyperlink" Target="https://www.eufunds.bg/bg/node/8224" TargetMode="External"/><Relationship Id="rId78" Type="http://schemas.openxmlformats.org/officeDocument/2006/relationships/footer" Target="footer30.xml"/><Relationship Id="rId94" Type="http://schemas.openxmlformats.org/officeDocument/2006/relationships/header" Target="header37.xml"/><Relationship Id="rId99" Type="http://schemas.openxmlformats.org/officeDocument/2006/relationships/footer" Target="footer40.xml"/><Relationship Id="rId101" Type="http://schemas.openxmlformats.org/officeDocument/2006/relationships/header" Target="header41.xml"/><Relationship Id="rId122" Type="http://schemas.openxmlformats.org/officeDocument/2006/relationships/header" Target="header5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4810CDE2D6A49B31A15A0914D30AA" ma:contentTypeVersion="16" ma:contentTypeDescription="Create a new document." ma:contentTypeScope="" ma:versionID="aec659d14bfb2142ffd631f1c63368b8">
  <xsd:schema xmlns:xsd="http://www.w3.org/2001/XMLSchema" xmlns:xs="http://www.w3.org/2001/XMLSchema" xmlns:p="http://schemas.microsoft.com/office/2006/metadata/properties" xmlns:ns3="a794c530-2362-40c3-a872-0787e01ce193" xmlns:ns4="f5a3da11-f04f-44ae-99ac-e3b832686c32" targetNamespace="http://schemas.microsoft.com/office/2006/metadata/properties" ma:root="true" ma:fieldsID="117aeac49b19a324b9913987703a58f5" ns3:_="" ns4:_="">
    <xsd:import namespace="a794c530-2362-40c3-a872-0787e01ce193"/>
    <xsd:import namespace="f5a3da11-f04f-44ae-99ac-e3b832686c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4c530-2362-40c3-a872-0787e01ce1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3da11-f04f-44ae-99ac-e3b832686c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a3da11-f04f-44ae-99ac-e3b832686c32" xsi:nil="true"/>
  </documentManagement>
</p:properties>
</file>

<file path=customXml/itemProps1.xml><?xml version="1.0" encoding="utf-8"?>
<ds:datastoreItem xmlns:ds="http://schemas.openxmlformats.org/officeDocument/2006/customXml" ds:itemID="{1CAA2B1E-A20A-4FA5-9B97-C076EBBB0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4c530-2362-40c3-a872-0787e01ce193"/>
    <ds:schemaRef ds:uri="f5a3da11-f04f-44ae-99ac-e3b832686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77EEE-46F6-4EE7-B1B7-2ECEFF1F9B28}">
  <ds:schemaRefs>
    <ds:schemaRef ds:uri="http://schemas.microsoft.com/sharepoint/v3/contenttype/forms"/>
  </ds:schemaRefs>
</ds:datastoreItem>
</file>

<file path=customXml/itemProps3.xml><?xml version="1.0" encoding="utf-8"?>
<ds:datastoreItem xmlns:ds="http://schemas.openxmlformats.org/officeDocument/2006/customXml" ds:itemID="{B4F0A18C-A3E2-463B-9499-0DB1C5681D3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5a3da11-f04f-44ae-99ac-e3b832686c32"/>
    <ds:schemaRef ds:uri="a794c530-2362-40c3-a872-0787e01ce19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20609</Words>
  <Characters>129702</Characters>
  <Application>Microsoft Office Word</Application>
  <DocSecurity>0</DocSecurity>
  <Lines>1080</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Rositsa Gavazova</dc:creator>
  <cp:lastModifiedBy>Галина Смелова</cp:lastModifiedBy>
  <cp:revision>2</cp:revision>
  <cp:lastPrinted>2026-01-12T14:21:00Z</cp:lastPrinted>
  <dcterms:created xsi:type="dcterms:W3CDTF">2026-02-18T07:29:00Z</dcterms:created>
  <dcterms:modified xsi:type="dcterms:W3CDTF">2026-02-18T07:29:00Z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0x0101006174810CDE2D6A49B31A15A0914D30AA</vt:lpwstr>
  </property>
</Properties>
</file>