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6F25A0F" w:rsidR="00683DAE" w:rsidRDefault="00683DAE">
      <w:pPr>
        <w:pStyle w:val="Title"/>
        <w:rPr>
          <w:noProof/>
          <w:lang w:val="en-US"/>
        </w:rPr>
      </w:pPr>
    </w:p>
    <w:p w14:paraId="593EC3A7" w14:textId="77777777" w:rsidR="00186F36" w:rsidRDefault="00186F36">
      <w:pPr>
        <w:pStyle w:val="Title"/>
        <w:rPr>
          <w:noProof/>
          <w:lang w:val="en-US"/>
        </w:rPr>
      </w:pPr>
    </w:p>
    <w:p w14:paraId="750B61E4" w14:textId="77777777" w:rsidR="00186F36" w:rsidRPr="00186F36" w:rsidRDefault="00186F36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03419E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03419E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03419E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34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419E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03419E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3419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3419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3419E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3008B48" w:rsidR="0069784B" w:rsidRPr="0003419E" w:rsidRDefault="0003419E" w:rsidP="00D36EA5">
      <w:pPr>
        <w:jc w:val="right"/>
        <w:rPr>
          <w:rFonts w:ascii="Arial" w:hAnsi="Arial"/>
          <w:szCs w:val="24"/>
          <w:lang w:val="bg-BG"/>
        </w:rPr>
      </w:pPr>
      <w:r w:rsidRPr="0003419E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03419E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EED2520" w:rsidR="0069784B" w:rsidRPr="0003419E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03419E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03419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03419E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3419E" w:rsidRPr="0003419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38</w:t>
      </w:r>
    </w:p>
    <w:p w14:paraId="7958E6EF" w14:textId="77777777" w:rsidR="0069784B" w:rsidRPr="0003419E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34A38FC4" w:rsidR="0069784B" w:rsidRPr="0003419E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3419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03419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03419E" w:rsidRPr="0003419E">
        <w:rPr>
          <w:rFonts w:ascii="Times New Roman" w:hAnsi="Times New Roman"/>
          <w:b/>
          <w:sz w:val="30"/>
          <w:szCs w:val="30"/>
          <w:lang w:val="bg-BG"/>
        </w:rPr>
        <w:t>23</w:t>
      </w:r>
      <w:r w:rsidR="0069784B" w:rsidRPr="0003419E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03419E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3419E" w:rsidRPr="0003419E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69784B" w:rsidRPr="0003419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03419E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03419E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03419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3419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03419E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03419E" w:rsidRDefault="005866D4">
      <w:pPr>
        <w:rPr>
          <w:rFonts w:ascii="Times New Roman" w:hAnsi="Times New Roman"/>
          <w:b/>
          <w:lang w:val="bg-BG"/>
        </w:rPr>
      </w:pPr>
    </w:p>
    <w:p w14:paraId="57616697" w14:textId="470E83AC" w:rsidR="0069784B" w:rsidRPr="0003419E" w:rsidRDefault="0069784B" w:rsidP="000D0D80">
      <w:pPr>
        <w:tabs>
          <w:tab w:val="left" w:pos="8222"/>
        </w:tabs>
        <w:spacing w:line="276" w:lineRule="auto"/>
        <w:ind w:left="1701" w:right="70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3419E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03419E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0D0D80" w:rsidRPr="0003419E">
        <w:rPr>
          <w:rFonts w:ascii="Arial" w:hAnsi="Arial" w:cs="Arial"/>
          <w:b/>
          <w:smallCaps/>
          <w:sz w:val="28"/>
          <w:szCs w:val="28"/>
          <w:lang w:val="bg-BG"/>
        </w:rPr>
        <w:t>приемане на план-сметка за разходите/трансферите по подготовката и произвеждането на изборите за народни представители на 19 април 2026 г.</w:t>
      </w:r>
    </w:p>
    <w:p w14:paraId="4EA99E59" w14:textId="77777777" w:rsidR="00E22D77" w:rsidRPr="0003419E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03419E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03419E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3419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03419E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03419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3419E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03419E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582C75A2" w14:textId="0E134E00" w:rsidR="000D0D80" w:rsidRPr="0003419E" w:rsidRDefault="000D0D80" w:rsidP="00464A28">
      <w:pPr>
        <w:pStyle w:val="m"/>
        <w:spacing w:before="120" w:beforeAutospacing="0" w:after="120" w:afterAutospacing="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03419E">
        <w:rPr>
          <w:rFonts w:ascii="Arial" w:hAnsi="Arial" w:cs="Arial"/>
          <w:b/>
          <w:color w:val="000000"/>
          <w:sz w:val="28"/>
          <w:szCs w:val="28"/>
        </w:rPr>
        <w:t xml:space="preserve">Чл. 1. </w:t>
      </w:r>
      <w:r w:rsidRPr="0003419E">
        <w:rPr>
          <w:rFonts w:ascii="Arial" w:hAnsi="Arial" w:cs="Arial"/>
          <w:b/>
          <w:bCs/>
          <w:color w:val="000000"/>
          <w:sz w:val="28"/>
          <w:szCs w:val="28"/>
        </w:rPr>
        <w:t>(1)</w:t>
      </w:r>
      <w:r w:rsidRPr="0003419E">
        <w:rPr>
          <w:rFonts w:ascii="Arial" w:hAnsi="Arial" w:cs="Arial"/>
          <w:color w:val="000000"/>
          <w:sz w:val="28"/>
          <w:szCs w:val="28"/>
        </w:rPr>
        <w:t xml:space="preserve"> Приема план-сметка за разходите/трансферите по подготовката и произвеждането на изборите за народни представители на 1</w:t>
      </w:r>
      <w:r w:rsidRPr="0003419E">
        <w:rPr>
          <w:rFonts w:ascii="Arial" w:hAnsi="Arial" w:cs="Arial"/>
          <w:sz w:val="28"/>
          <w:szCs w:val="28"/>
        </w:rPr>
        <w:t>9 април</w:t>
      </w:r>
      <w:r w:rsidRPr="0003419E">
        <w:rPr>
          <w:rFonts w:ascii="Arial" w:hAnsi="Arial" w:cs="Arial"/>
          <w:color w:val="000000"/>
          <w:sz w:val="28"/>
          <w:szCs w:val="28"/>
        </w:rPr>
        <w:t xml:space="preserve"> 2026 г. на обща стойност 65 635,3 хил. евро съгласно </w:t>
      </w:r>
      <w:r w:rsidR="00BB0508" w:rsidRPr="0003419E">
        <w:rPr>
          <w:rFonts w:ascii="Arial" w:hAnsi="Arial" w:cs="Arial"/>
          <w:color w:val="000000"/>
          <w:sz w:val="28"/>
          <w:szCs w:val="28"/>
        </w:rPr>
        <w:t xml:space="preserve">Приложение </w:t>
      </w:r>
      <w:r w:rsidRPr="0003419E">
        <w:rPr>
          <w:rFonts w:ascii="Arial" w:hAnsi="Arial" w:cs="Arial"/>
          <w:color w:val="000000"/>
          <w:sz w:val="28"/>
          <w:szCs w:val="28"/>
        </w:rPr>
        <w:t>№ 1.</w:t>
      </w:r>
    </w:p>
    <w:p w14:paraId="3CA9B147" w14:textId="6856FDC9" w:rsidR="000D0D80" w:rsidRPr="0003419E" w:rsidRDefault="000D0D80" w:rsidP="00464A28">
      <w:pPr>
        <w:pStyle w:val="m"/>
        <w:spacing w:before="120" w:beforeAutospacing="0" w:after="120" w:afterAutospacing="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03419E">
        <w:rPr>
          <w:rFonts w:ascii="Arial" w:hAnsi="Arial" w:cs="Arial"/>
          <w:b/>
          <w:bCs/>
          <w:color w:val="000000"/>
          <w:sz w:val="28"/>
          <w:szCs w:val="28"/>
        </w:rPr>
        <w:t>(2)</w:t>
      </w:r>
      <w:r w:rsidRPr="0003419E">
        <w:rPr>
          <w:rFonts w:ascii="Arial" w:hAnsi="Arial" w:cs="Arial"/>
          <w:color w:val="000000"/>
          <w:sz w:val="28"/>
          <w:szCs w:val="28"/>
        </w:rPr>
        <w:t xml:space="preserve"> Одобрява финансиране в размера по ал. 1, разпределено по бюджетни организации, в т</w:t>
      </w:r>
      <w:r w:rsidR="00BB0508" w:rsidRPr="0003419E">
        <w:rPr>
          <w:rFonts w:ascii="Arial" w:hAnsi="Arial" w:cs="Arial"/>
          <w:color w:val="000000"/>
          <w:sz w:val="28"/>
          <w:szCs w:val="28"/>
        </w:rPr>
        <w:t>.</w:t>
      </w:r>
      <w:r w:rsidRPr="0003419E">
        <w:rPr>
          <w:rFonts w:ascii="Arial" w:hAnsi="Arial" w:cs="Arial"/>
          <w:color w:val="000000"/>
          <w:sz w:val="28"/>
          <w:szCs w:val="28"/>
        </w:rPr>
        <w:t xml:space="preserve"> ч</w:t>
      </w:r>
      <w:r w:rsidR="00BB0508" w:rsidRPr="0003419E">
        <w:rPr>
          <w:rFonts w:ascii="Arial" w:hAnsi="Arial" w:cs="Arial"/>
          <w:color w:val="000000"/>
          <w:sz w:val="28"/>
          <w:szCs w:val="28"/>
        </w:rPr>
        <w:t>.</w:t>
      </w:r>
      <w:r w:rsidRPr="0003419E">
        <w:rPr>
          <w:rFonts w:ascii="Arial" w:hAnsi="Arial" w:cs="Arial"/>
          <w:color w:val="000000"/>
          <w:sz w:val="28"/>
          <w:szCs w:val="28"/>
        </w:rPr>
        <w:t xml:space="preserve"> по общини, и по дейности, съгласно </w:t>
      </w:r>
      <w:r w:rsidR="00BB0508" w:rsidRPr="0003419E">
        <w:rPr>
          <w:rFonts w:ascii="Arial" w:hAnsi="Arial" w:cs="Arial"/>
          <w:color w:val="000000"/>
          <w:sz w:val="28"/>
          <w:szCs w:val="28"/>
        </w:rPr>
        <w:t xml:space="preserve">Приложение </w:t>
      </w:r>
      <w:r w:rsidRPr="0003419E">
        <w:rPr>
          <w:rFonts w:ascii="Arial" w:hAnsi="Arial" w:cs="Arial"/>
          <w:color w:val="000000"/>
          <w:sz w:val="28"/>
          <w:szCs w:val="28"/>
        </w:rPr>
        <w:t>№ 1.</w:t>
      </w:r>
    </w:p>
    <w:p w14:paraId="5502BA12" w14:textId="42E74DE0" w:rsidR="000D0D80" w:rsidRPr="0003419E" w:rsidRDefault="000D0D80" w:rsidP="00464A28">
      <w:pPr>
        <w:spacing w:before="120" w:after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bookmarkStart w:id="0" w:name="to_paragraph_id31092963"/>
      <w:bookmarkEnd w:id="0"/>
      <w:r w:rsidRPr="0003419E">
        <w:rPr>
          <w:rFonts w:ascii="Arial" w:hAnsi="Arial" w:cs="Arial"/>
          <w:b/>
          <w:bCs/>
          <w:sz w:val="28"/>
          <w:szCs w:val="28"/>
          <w:lang w:val="bg-BG" w:eastAsia="bg-BG"/>
        </w:rPr>
        <w:t>Чл. 2</w:t>
      </w:r>
      <w:r w:rsidRPr="0003419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03419E">
        <w:rPr>
          <w:rFonts w:ascii="Arial" w:eastAsia="Calibri" w:hAnsi="Arial" w:cs="Arial"/>
          <w:b/>
          <w:bCs/>
          <w:sz w:val="28"/>
          <w:szCs w:val="28"/>
          <w:lang w:val="bg-BG"/>
        </w:rPr>
        <w:t>(1)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 xml:space="preserve"> Средствата в размер на 35</w:t>
      </w:r>
      <w:r w:rsidR="00BB0508" w:rsidRPr="0003419E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 xml:space="preserve">099,4 хил. евро по пореден № 3 от </w:t>
      </w:r>
      <w:r w:rsidR="00BB0508" w:rsidRPr="0003419E">
        <w:rPr>
          <w:rFonts w:ascii="Arial" w:eastAsia="Calibri" w:hAnsi="Arial" w:cs="Arial"/>
          <w:sz w:val="28"/>
          <w:szCs w:val="28"/>
          <w:lang w:val="bg-BG"/>
        </w:rPr>
        <w:t xml:space="preserve">Приложение 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>№ 1 се предоставят на общините като трансфери за други целеви разходи не по-късно от 19 март 2026 г.</w:t>
      </w:r>
    </w:p>
    <w:p w14:paraId="64A9371A" w14:textId="13ABF489" w:rsidR="000D0D80" w:rsidRPr="0003419E" w:rsidRDefault="000D0D80" w:rsidP="00464A28">
      <w:pPr>
        <w:spacing w:before="120" w:after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03419E">
        <w:rPr>
          <w:rFonts w:ascii="Arial" w:eastAsia="Calibri" w:hAnsi="Arial" w:cs="Arial"/>
          <w:b/>
          <w:bCs/>
          <w:sz w:val="28"/>
          <w:szCs w:val="28"/>
          <w:lang w:val="bg-BG"/>
        </w:rPr>
        <w:t>(2)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 xml:space="preserve"> Трансферите за организационно-техническа подготовка на изборите в размер на 27</w:t>
      </w:r>
      <w:r w:rsidR="00BB0508" w:rsidRPr="0003419E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>395,4 хил. евро, в т.</w:t>
      </w:r>
      <w:r w:rsidR="00BB0508" w:rsidRPr="0003419E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 xml:space="preserve">ч. 2084,6 хил. евро за секционните/подвижните секционни избирателни комисии (СИК/ПСИК) за изплащане на възнаграждение за всеки член на СИК/ПСИК, представила верен протокол с данните от гласуването, по пореден № 3.1 от </w:t>
      </w:r>
      <w:r w:rsidR="00762553" w:rsidRPr="0003419E">
        <w:rPr>
          <w:rFonts w:ascii="Arial" w:eastAsia="Calibri" w:hAnsi="Arial" w:cs="Arial"/>
          <w:sz w:val="28"/>
          <w:szCs w:val="28"/>
          <w:lang w:val="bg-BG"/>
        </w:rPr>
        <w:t xml:space="preserve">Приложение 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 xml:space="preserve">№ 1 се разпределят по общините съгласно </w:t>
      </w:r>
      <w:r w:rsidR="00762553" w:rsidRPr="0003419E">
        <w:rPr>
          <w:rFonts w:ascii="Arial" w:eastAsia="Calibri" w:hAnsi="Arial" w:cs="Arial"/>
          <w:sz w:val="28"/>
          <w:szCs w:val="28"/>
          <w:lang w:val="bg-BG"/>
        </w:rPr>
        <w:t xml:space="preserve">Приложение 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>№ 2.</w:t>
      </w:r>
    </w:p>
    <w:p w14:paraId="4AB3D63B" w14:textId="16029300" w:rsidR="000D0D80" w:rsidRPr="0003419E" w:rsidRDefault="000D0D80" w:rsidP="00464A28">
      <w:pPr>
        <w:spacing w:before="120" w:after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03419E">
        <w:rPr>
          <w:rFonts w:ascii="Arial" w:eastAsia="Calibri" w:hAnsi="Arial" w:cs="Arial"/>
          <w:b/>
          <w:bCs/>
          <w:sz w:val="28"/>
          <w:szCs w:val="28"/>
          <w:lang w:val="bg-BG"/>
        </w:rPr>
        <w:lastRenderedPageBreak/>
        <w:t>(3)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 xml:space="preserve"> Трансферите за организационно-техническа подготовка на изборите в размер на 7704,0 хил. евро, по пореден № 3.2 от </w:t>
      </w:r>
      <w:r w:rsidR="00BB0508" w:rsidRPr="0003419E">
        <w:rPr>
          <w:rFonts w:ascii="Arial" w:eastAsia="Calibri" w:hAnsi="Arial" w:cs="Arial"/>
          <w:sz w:val="28"/>
          <w:szCs w:val="28"/>
          <w:lang w:val="bg-BG"/>
        </w:rPr>
        <w:t xml:space="preserve">Приложение 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 xml:space="preserve">№ 1 се разпределят по общините съгласно </w:t>
      </w:r>
      <w:r w:rsidR="00BB0508" w:rsidRPr="0003419E">
        <w:rPr>
          <w:rFonts w:ascii="Arial" w:eastAsia="Calibri" w:hAnsi="Arial" w:cs="Arial"/>
          <w:sz w:val="28"/>
          <w:szCs w:val="28"/>
          <w:lang w:val="bg-BG"/>
        </w:rPr>
        <w:t xml:space="preserve">Приложение 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>№ 3.</w:t>
      </w:r>
    </w:p>
    <w:p w14:paraId="702E83F3" w14:textId="2E0E1E28" w:rsidR="000D0D80" w:rsidRPr="0003419E" w:rsidRDefault="000D0D80" w:rsidP="00464A28">
      <w:pPr>
        <w:spacing w:before="120" w:after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03419E">
        <w:rPr>
          <w:rFonts w:ascii="Arial" w:eastAsia="Calibri" w:hAnsi="Arial" w:cs="Arial"/>
          <w:b/>
          <w:bCs/>
          <w:sz w:val="28"/>
          <w:szCs w:val="28"/>
          <w:lang w:val="bg-BG"/>
        </w:rPr>
        <w:t>(4)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 xml:space="preserve"> Когато трансферите за общината по ал. 1 са в по-голям размер от действително извършените разходи, остатъкът, включително от средствата </w:t>
      </w:r>
      <w:r w:rsidRPr="0003419E">
        <w:rPr>
          <w:rFonts w:ascii="Arial" w:hAnsi="Arial" w:cs="Arial"/>
          <w:sz w:val="28"/>
          <w:szCs w:val="28"/>
          <w:lang w:val="bg-BG"/>
        </w:rPr>
        <w:t>за изплащане на възнаграждение за всеки член на СИК/ПСИК, представила верен протокол с данните от гласуването,</w:t>
      </w:r>
      <w:r w:rsidRPr="0003419E">
        <w:rPr>
          <w:rFonts w:ascii="Arial" w:eastAsia="Calibri" w:hAnsi="Arial" w:cs="Arial"/>
          <w:sz w:val="28"/>
          <w:szCs w:val="28"/>
          <w:lang w:val="bg-BG"/>
        </w:rPr>
        <w:t xml:space="preserve"> се възстановява в държавния бюджет в срок до </w:t>
      </w:r>
      <w:r w:rsidR="00464A28" w:rsidRPr="0003419E">
        <w:rPr>
          <w:rFonts w:ascii="Arial" w:eastAsia="Calibri" w:hAnsi="Arial" w:cs="Arial"/>
          <w:sz w:val="28"/>
          <w:szCs w:val="28"/>
          <w:lang w:val="bg-BG"/>
        </w:rPr>
        <w:br/>
      </w:r>
      <w:r w:rsidRPr="0003419E">
        <w:rPr>
          <w:rFonts w:ascii="Arial" w:eastAsia="Calibri" w:hAnsi="Arial" w:cs="Arial"/>
          <w:sz w:val="28"/>
          <w:szCs w:val="28"/>
          <w:lang w:val="bg-BG"/>
        </w:rPr>
        <w:t>31 август 2026 г.</w:t>
      </w:r>
      <w:r w:rsidRPr="0003419E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388FE68" w14:textId="1C25D276" w:rsidR="000D0D80" w:rsidRPr="0003419E" w:rsidRDefault="000D0D80" w:rsidP="00464A28">
      <w:pPr>
        <w:pStyle w:val="m"/>
        <w:spacing w:before="120" w:beforeAutospacing="0" w:after="120" w:afterAutospacing="0" w:line="288" w:lineRule="auto"/>
        <w:ind w:firstLine="1134"/>
        <w:jc w:val="both"/>
        <w:rPr>
          <w:rFonts w:ascii="Arial" w:hAnsi="Arial" w:cs="Arial"/>
          <w:sz w:val="28"/>
          <w:szCs w:val="28"/>
        </w:rPr>
      </w:pPr>
      <w:bookmarkStart w:id="1" w:name="to_paragraph_id31017336"/>
      <w:bookmarkStart w:id="2" w:name="to_paragraph_id31017341"/>
      <w:bookmarkEnd w:id="1"/>
      <w:bookmarkEnd w:id="2"/>
      <w:r w:rsidRPr="0003419E">
        <w:rPr>
          <w:rFonts w:ascii="Arial" w:hAnsi="Arial" w:cs="Arial"/>
          <w:b/>
          <w:color w:val="000000"/>
          <w:sz w:val="28"/>
          <w:szCs w:val="28"/>
        </w:rPr>
        <w:t>Чл. 3.</w:t>
      </w:r>
      <w:r w:rsidRPr="0003419E">
        <w:rPr>
          <w:rFonts w:ascii="Arial" w:hAnsi="Arial" w:cs="Arial"/>
          <w:color w:val="000000"/>
          <w:sz w:val="28"/>
          <w:szCs w:val="28"/>
        </w:rPr>
        <w:t xml:space="preserve"> Първостепенните разпоредители с бюджет по бюджетите по чл. 1, ал. 2 в срок до </w:t>
      </w:r>
      <w:r w:rsidRPr="0003419E">
        <w:rPr>
          <w:rFonts w:ascii="Arial" w:hAnsi="Arial" w:cs="Arial"/>
          <w:sz w:val="28"/>
          <w:szCs w:val="28"/>
        </w:rPr>
        <w:t xml:space="preserve">19 юни 2026 г., министърът на външните работи </w:t>
      </w:r>
      <w:r w:rsidR="00E8795F" w:rsidRPr="0003419E">
        <w:rPr>
          <w:rFonts w:ascii="Arial" w:hAnsi="Arial" w:cs="Arial"/>
          <w:sz w:val="28"/>
          <w:szCs w:val="28"/>
        </w:rPr>
        <w:t xml:space="preserve">в срок до 10 септември 2026 г. </w:t>
      </w:r>
      <w:r w:rsidRPr="0003419E">
        <w:rPr>
          <w:rFonts w:ascii="Arial" w:hAnsi="Arial" w:cs="Arial"/>
          <w:color w:val="000000"/>
          <w:sz w:val="28"/>
          <w:szCs w:val="28"/>
        </w:rPr>
        <w:t>и кметовете на общините</w:t>
      </w:r>
      <w:r w:rsidRPr="0003419E">
        <w:rPr>
          <w:rFonts w:ascii="Arial" w:hAnsi="Arial" w:cs="Arial"/>
          <w:sz w:val="28"/>
          <w:szCs w:val="28"/>
        </w:rPr>
        <w:t xml:space="preserve"> в срок до 31 юли 2026 г. да представят на министъра на финансите отчет за извършените разходи, одобрени с план-сметката.</w:t>
      </w:r>
    </w:p>
    <w:p w14:paraId="7994C2CE" w14:textId="580DC9A9" w:rsidR="000D0D80" w:rsidRPr="0003419E" w:rsidRDefault="000D0D80" w:rsidP="00464A28">
      <w:pPr>
        <w:pStyle w:val="m"/>
        <w:spacing w:before="120" w:beforeAutospacing="0" w:after="120" w:afterAutospacing="0" w:line="288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03419E">
        <w:rPr>
          <w:rFonts w:ascii="Arial" w:hAnsi="Arial" w:cs="Arial"/>
          <w:b/>
          <w:sz w:val="28"/>
          <w:szCs w:val="28"/>
        </w:rPr>
        <w:t>Чл. 4.</w:t>
      </w:r>
      <w:r w:rsidRPr="0003419E">
        <w:rPr>
          <w:rFonts w:ascii="Arial" w:hAnsi="Arial" w:cs="Arial"/>
          <w:sz w:val="28"/>
          <w:szCs w:val="28"/>
        </w:rPr>
        <w:t xml:space="preserve"> При сключване от Централната избирателна комисия на договори за софтуерно осигуряване на машинното гласуване и за логистика и техническа поддръжка на специализирани устройства за електронно машинно гласуване, както и за други материали и съпътстващи дейности за обезпечаване на машинното гласуване, гласуването с хартиени бюлетини, компютърната обработка на данните от гласуването в изборите и издаването на бюлетин с резултатите от изборите необходимите за целта средства се осигуряват допълнително по реда на чл. 3, ал. 3 от Закона за събирането на приходи и извършването на разходи през 2026 г. до приемането на Закона </w:t>
      </w:r>
      <w:r w:rsidRPr="0003419E">
        <w:rPr>
          <w:rFonts w:ascii="Arial" w:eastAsia="Calibri" w:hAnsi="Arial" w:cs="Arial"/>
          <w:sz w:val="28"/>
          <w:szCs w:val="28"/>
        </w:rPr>
        <w:t>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5B024FAC" w14:textId="65AEE7EE" w:rsidR="000D0D80" w:rsidRPr="0003419E" w:rsidRDefault="000D0D80" w:rsidP="00464A28">
      <w:pPr>
        <w:pStyle w:val="m"/>
        <w:spacing w:before="120" w:beforeAutospacing="0" w:after="120" w:afterAutospacing="0" w:line="288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03419E">
        <w:rPr>
          <w:rFonts w:ascii="Arial" w:hAnsi="Arial" w:cs="Arial"/>
          <w:b/>
          <w:sz w:val="28"/>
          <w:szCs w:val="28"/>
        </w:rPr>
        <w:t>Чл. 5.</w:t>
      </w:r>
      <w:r w:rsidRPr="0003419E">
        <w:rPr>
          <w:rFonts w:ascii="Arial" w:hAnsi="Arial" w:cs="Arial"/>
          <w:sz w:val="28"/>
          <w:szCs w:val="28"/>
        </w:rPr>
        <w:t xml:space="preserve"> Средствата по чл. 1 се одобряват по реда на чл. 109, ал. 3 от Закона за публичните финанси след влизането в сила на Закона за държавния бюджет на Република България за 2026</w:t>
      </w:r>
      <w:r w:rsidR="00706F30" w:rsidRPr="0003419E">
        <w:rPr>
          <w:rFonts w:ascii="Arial" w:hAnsi="Arial" w:cs="Arial"/>
          <w:sz w:val="28"/>
          <w:szCs w:val="28"/>
        </w:rPr>
        <w:t xml:space="preserve"> </w:t>
      </w:r>
      <w:r w:rsidRPr="0003419E">
        <w:rPr>
          <w:rFonts w:ascii="Arial" w:hAnsi="Arial" w:cs="Arial"/>
          <w:sz w:val="28"/>
          <w:szCs w:val="28"/>
        </w:rPr>
        <w:t>г.</w:t>
      </w:r>
    </w:p>
    <w:p w14:paraId="4E82E322" w14:textId="5E5DD709" w:rsidR="000D0D80" w:rsidRPr="0003419E" w:rsidRDefault="000D0D80" w:rsidP="00110BD0">
      <w:pPr>
        <w:pStyle w:val="m"/>
        <w:spacing w:before="480" w:beforeAutospacing="0" w:after="240" w:afterAutospacing="0"/>
        <w:jc w:val="center"/>
        <w:rPr>
          <w:b/>
          <w:smallCaps/>
          <w:color w:val="000000"/>
          <w:sz w:val="28"/>
          <w:szCs w:val="28"/>
        </w:rPr>
      </w:pPr>
      <w:r w:rsidRPr="0003419E">
        <w:rPr>
          <w:b/>
          <w:smallCaps/>
          <w:color w:val="000000"/>
          <w:sz w:val="28"/>
          <w:szCs w:val="28"/>
        </w:rPr>
        <w:lastRenderedPageBreak/>
        <w:t>ЗАКЛЮЧИТЕЛНИ РАЗПОРЕДБИ</w:t>
      </w:r>
    </w:p>
    <w:p w14:paraId="3F619425" w14:textId="19FF61FB" w:rsidR="000D0D80" w:rsidRPr="0003419E" w:rsidRDefault="000D0D80" w:rsidP="000D0D80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03419E">
        <w:rPr>
          <w:rFonts w:ascii="Arial" w:hAnsi="Arial" w:cs="Arial"/>
          <w:b/>
          <w:bCs/>
          <w:sz w:val="28"/>
          <w:szCs w:val="28"/>
          <w:lang w:val="bg-BG"/>
        </w:rPr>
        <w:t xml:space="preserve">§ 1. </w:t>
      </w:r>
      <w:r w:rsidRPr="0003419E">
        <w:rPr>
          <w:rFonts w:ascii="Arial" w:hAnsi="Arial" w:cs="Arial"/>
          <w:bCs/>
          <w:sz w:val="28"/>
          <w:szCs w:val="28"/>
          <w:lang w:val="bg-BG"/>
        </w:rPr>
        <w:t xml:space="preserve">Постановлението се приема на основание чл. 18, ал. 2 от Изборния кодекс и </w:t>
      </w:r>
      <w:r w:rsidRPr="0003419E">
        <w:rPr>
          <w:rFonts w:ascii="Arial" w:eastAsia="Calibri" w:hAnsi="Arial" w:cs="Arial"/>
          <w:sz w:val="28"/>
          <w:szCs w:val="28"/>
          <w:lang w:val="bg-BG" w:eastAsia="bg-BG"/>
        </w:rPr>
        <w:t xml:space="preserve">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</w:t>
      </w:r>
    </w:p>
    <w:p w14:paraId="1D7D36FF" w14:textId="1841896E" w:rsidR="000D0D80" w:rsidRPr="0003419E" w:rsidRDefault="000D0D80" w:rsidP="000D0D80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3419E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03419E">
        <w:rPr>
          <w:rFonts w:ascii="Arial" w:hAnsi="Arial" w:cs="Arial"/>
          <w:bCs/>
          <w:sz w:val="28"/>
          <w:szCs w:val="28"/>
          <w:lang w:val="bg-BG"/>
        </w:rPr>
        <w:t xml:space="preserve"> Изпълнението на постановлението се възлага на ръководителите на съответните бюджетни организации по чл. 1, </w:t>
      </w:r>
      <w:r w:rsidR="00464A28" w:rsidRPr="0003419E">
        <w:rPr>
          <w:rFonts w:ascii="Arial" w:hAnsi="Arial" w:cs="Arial"/>
          <w:bCs/>
          <w:sz w:val="28"/>
          <w:szCs w:val="28"/>
          <w:lang w:val="bg-BG"/>
        </w:rPr>
        <w:br/>
      </w:r>
      <w:r w:rsidRPr="0003419E">
        <w:rPr>
          <w:rFonts w:ascii="Arial" w:hAnsi="Arial" w:cs="Arial"/>
          <w:bCs/>
          <w:sz w:val="28"/>
          <w:szCs w:val="28"/>
          <w:lang w:val="bg-BG"/>
        </w:rPr>
        <w:t xml:space="preserve">ал. 2, на кметовете на общините и на министъра на финансите. </w:t>
      </w:r>
    </w:p>
    <w:p w14:paraId="67B38929" w14:textId="77777777" w:rsidR="000D0D80" w:rsidRPr="0003419E" w:rsidRDefault="000D0D80" w:rsidP="000D0D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3419E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03419E">
        <w:rPr>
          <w:rFonts w:ascii="Arial" w:hAnsi="Arial" w:cs="Arial"/>
          <w:bCs/>
          <w:sz w:val="28"/>
          <w:szCs w:val="28"/>
          <w:lang w:val="bg-BG"/>
        </w:rPr>
        <w:t xml:space="preserve"> Постановлението влиза в сила от 23 февруари 2026 г.</w:t>
      </w:r>
    </w:p>
    <w:p w14:paraId="36B988C9" w14:textId="77777777" w:rsidR="003E5FC1" w:rsidRPr="0003419E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03419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7F2F4F3" w14:textId="77777777" w:rsidR="007C1D0E" w:rsidRPr="0003419E" w:rsidRDefault="007C1D0E" w:rsidP="007C1D0E">
      <w:pPr>
        <w:spacing w:before="120" w:line="280" w:lineRule="atLeast"/>
        <w:ind w:firstLine="1134"/>
        <w:jc w:val="both"/>
        <w:rPr>
          <w:rFonts w:ascii="Arial" w:hAnsi="Arial"/>
          <w:b/>
          <w:lang w:val="bg-BG"/>
        </w:rPr>
      </w:pPr>
    </w:p>
    <w:p w14:paraId="6DA18111" w14:textId="77777777" w:rsidR="0003419E" w:rsidRPr="0003419E" w:rsidRDefault="0003419E">
      <w:pPr>
        <w:ind w:firstLine="1134"/>
        <w:rPr>
          <w:rFonts w:ascii="Arial" w:hAnsi="Arial"/>
          <w:b/>
          <w:szCs w:val="24"/>
          <w:lang w:val="bg-BG"/>
        </w:rPr>
      </w:pPr>
      <w:r w:rsidRPr="0003419E">
        <w:rPr>
          <w:rFonts w:ascii="Arial" w:hAnsi="Arial"/>
          <w:b/>
          <w:szCs w:val="24"/>
          <w:lang w:val="bg-BG"/>
        </w:rPr>
        <w:t>МИНИСТЪР-ПРЕДСЕДАТЕЛ: /п/ Андрей Гюров</w:t>
      </w:r>
    </w:p>
    <w:p w14:paraId="67E15C57" w14:textId="77777777" w:rsidR="0003419E" w:rsidRPr="0003419E" w:rsidRDefault="0003419E">
      <w:pPr>
        <w:ind w:firstLine="1134"/>
        <w:rPr>
          <w:rFonts w:ascii="Arial" w:hAnsi="Arial"/>
          <w:b/>
          <w:szCs w:val="24"/>
          <w:lang w:val="bg-BG"/>
        </w:rPr>
      </w:pPr>
    </w:p>
    <w:p w14:paraId="4BA0567D" w14:textId="77777777" w:rsidR="0003419E" w:rsidRPr="0003419E" w:rsidRDefault="0003419E">
      <w:pPr>
        <w:ind w:firstLine="1134"/>
        <w:rPr>
          <w:rFonts w:ascii="Arial" w:hAnsi="Arial"/>
          <w:b/>
          <w:szCs w:val="24"/>
          <w:lang w:val="bg-BG"/>
        </w:rPr>
      </w:pPr>
      <w:r w:rsidRPr="0003419E">
        <w:rPr>
          <w:rFonts w:ascii="Arial" w:hAnsi="Arial"/>
          <w:b/>
          <w:szCs w:val="24"/>
          <w:lang w:val="bg-BG"/>
        </w:rPr>
        <w:t>ГЛАВЕН СЕКРЕТАР НА</w:t>
      </w:r>
    </w:p>
    <w:p w14:paraId="6122CDED" w14:textId="77777777" w:rsidR="0003419E" w:rsidRPr="0003419E" w:rsidRDefault="0003419E">
      <w:pPr>
        <w:ind w:firstLine="1134"/>
        <w:rPr>
          <w:rFonts w:ascii="Arial" w:hAnsi="Arial"/>
          <w:b/>
          <w:szCs w:val="24"/>
          <w:lang w:val="bg-BG"/>
        </w:rPr>
      </w:pPr>
      <w:r w:rsidRPr="0003419E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03419E">
        <w:rPr>
          <w:rFonts w:ascii="Arial" w:hAnsi="Arial" w:cs="Arial"/>
          <w:b/>
          <w:szCs w:val="24"/>
          <w:lang w:val="bg-BG"/>
        </w:rPr>
        <w:t>Мария Томова</w:t>
      </w:r>
    </w:p>
    <w:p w14:paraId="0F42F91B" w14:textId="77777777" w:rsidR="0003419E" w:rsidRPr="0003419E" w:rsidRDefault="0003419E">
      <w:pPr>
        <w:ind w:left="1134"/>
        <w:rPr>
          <w:rFonts w:ascii="Arial" w:hAnsi="Arial"/>
          <w:b/>
          <w:szCs w:val="24"/>
          <w:lang w:val="bg-BG"/>
        </w:rPr>
      </w:pPr>
    </w:p>
    <w:sectPr w:rsidR="0003419E" w:rsidRPr="0003419E" w:rsidSect="00464A28">
      <w:headerReference w:type="even" r:id="rId7"/>
      <w:headerReference w:type="default" r:id="rId8"/>
      <w:pgSz w:w="11906" w:h="16838" w:code="9"/>
      <w:pgMar w:top="851" w:right="1417" w:bottom="851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F8E2" w14:textId="77777777" w:rsidR="00B87BEC" w:rsidRDefault="00B87BEC">
      <w:r>
        <w:separator/>
      </w:r>
    </w:p>
  </w:endnote>
  <w:endnote w:type="continuationSeparator" w:id="0">
    <w:p w14:paraId="453C68B0" w14:textId="77777777" w:rsidR="00B87BEC" w:rsidRDefault="00B8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5381" w14:textId="77777777" w:rsidR="00B87BEC" w:rsidRDefault="00B87BEC">
      <w:r>
        <w:separator/>
      </w:r>
    </w:p>
  </w:footnote>
  <w:footnote w:type="continuationSeparator" w:id="0">
    <w:p w14:paraId="30D7EA71" w14:textId="77777777" w:rsidR="00B87BEC" w:rsidRDefault="00B8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3419E"/>
    <w:rsid w:val="0004228B"/>
    <w:rsid w:val="0006327C"/>
    <w:rsid w:val="00067840"/>
    <w:rsid w:val="000900B0"/>
    <w:rsid w:val="00092519"/>
    <w:rsid w:val="000A5A5D"/>
    <w:rsid w:val="000D0D80"/>
    <w:rsid w:val="000E4F8B"/>
    <w:rsid w:val="00110BD0"/>
    <w:rsid w:val="0012240E"/>
    <w:rsid w:val="0012445B"/>
    <w:rsid w:val="00125CCA"/>
    <w:rsid w:val="00152094"/>
    <w:rsid w:val="00154A8D"/>
    <w:rsid w:val="0017323F"/>
    <w:rsid w:val="00186F36"/>
    <w:rsid w:val="00196159"/>
    <w:rsid w:val="00197ECB"/>
    <w:rsid w:val="001C0517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10DC"/>
    <w:rsid w:val="00444354"/>
    <w:rsid w:val="00464369"/>
    <w:rsid w:val="00464A2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E5C7A"/>
    <w:rsid w:val="005E7BFA"/>
    <w:rsid w:val="005F0028"/>
    <w:rsid w:val="005F25DA"/>
    <w:rsid w:val="00602070"/>
    <w:rsid w:val="00605128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6F39C3"/>
    <w:rsid w:val="007001C1"/>
    <w:rsid w:val="00706F30"/>
    <w:rsid w:val="0074689D"/>
    <w:rsid w:val="00762553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D2095"/>
    <w:rsid w:val="007E35B4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3219B"/>
    <w:rsid w:val="0094723C"/>
    <w:rsid w:val="00951281"/>
    <w:rsid w:val="00960E2A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21E14"/>
    <w:rsid w:val="00A25649"/>
    <w:rsid w:val="00A35770"/>
    <w:rsid w:val="00A55176"/>
    <w:rsid w:val="00A74CE1"/>
    <w:rsid w:val="00A80729"/>
    <w:rsid w:val="00A85B22"/>
    <w:rsid w:val="00A94062"/>
    <w:rsid w:val="00AA1C46"/>
    <w:rsid w:val="00AB3FB8"/>
    <w:rsid w:val="00AB4722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43904"/>
    <w:rsid w:val="00B6268D"/>
    <w:rsid w:val="00B87109"/>
    <w:rsid w:val="00B87BEC"/>
    <w:rsid w:val="00B907F8"/>
    <w:rsid w:val="00BB050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29E3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8795F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57B6B"/>
    <w:rsid w:val="00F6195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paragraph" w:customStyle="1" w:styleId="m">
    <w:name w:val="m"/>
    <w:basedOn w:val="Normal"/>
    <w:rsid w:val="000D0D80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CE3C4-BC5E-4505-A61D-A8A78350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2026-02-23T15:39:00Z</cp:lastPrinted>
  <dcterms:created xsi:type="dcterms:W3CDTF">2026-02-24T07:03:00Z</dcterms:created>
  <dcterms:modified xsi:type="dcterms:W3CDTF">2026-02-24T07:03:00Z</dcterms:modified>
</cp:coreProperties>
</file>