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BD71" w14:textId="4F638C31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A075E68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17BDAB21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25AC151" w14:textId="676ED5DE" w:rsidR="001D6269" w:rsidRPr="0028035E" w:rsidRDefault="000D1A84" w:rsidP="0040560B">
      <w:pPr>
        <w:jc w:val="right"/>
        <w:rPr>
          <w:rFonts w:ascii="Arial" w:hAnsi="Arial"/>
          <w:b/>
          <w:szCs w:val="24"/>
          <w:lang w:val="bg-BG"/>
        </w:rPr>
      </w:pPr>
      <w:r w:rsidRPr="000D1A84">
        <w:rPr>
          <w:rFonts w:ascii="Arial" w:hAnsi="Arial"/>
          <w:b/>
          <w:szCs w:val="24"/>
          <w:lang w:val="bg-BG"/>
        </w:rPr>
        <w:t>Препис</w:t>
      </w:r>
    </w:p>
    <w:p w14:paraId="4EB72055" w14:textId="77777777" w:rsidR="009F2CC6" w:rsidRPr="005847F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626049E6" w14:textId="77777777" w:rsidR="001D6269" w:rsidRPr="005847F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22FFE169" w14:textId="77777777" w:rsidR="008B1025" w:rsidRPr="005847F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4D773F5A" w14:textId="1CE2B8A4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D1A8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217</w:t>
      </w:r>
    </w:p>
    <w:p w14:paraId="72C64119" w14:textId="77777777" w:rsidR="001D6269" w:rsidRPr="005847F5" w:rsidRDefault="001D6269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3ABC6161" w14:textId="1BD3431B" w:rsidR="001D6269" w:rsidRPr="005847F5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847F5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5847F5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0D1A84">
        <w:rPr>
          <w:rFonts w:ascii="Times New Roman" w:hAnsi="Times New Roman"/>
          <w:b/>
          <w:sz w:val="28"/>
          <w:szCs w:val="28"/>
          <w:lang w:val="bg-BG"/>
        </w:rPr>
        <w:t>13   март</w:t>
      </w:r>
      <w:r w:rsidR="001D6269" w:rsidRPr="005847F5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5847F5">
        <w:rPr>
          <w:rFonts w:ascii="Times New Roman" w:hAnsi="Times New Roman"/>
          <w:b/>
          <w:sz w:val="28"/>
          <w:szCs w:val="28"/>
          <w:lang w:val="bg-BG"/>
        </w:rPr>
        <w:t>2</w:t>
      </w:r>
      <w:r w:rsidR="000707EB" w:rsidRPr="005847F5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5847F5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5847F5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67F0A578" w14:textId="77777777" w:rsidR="009F2CC6" w:rsidRPr="002548EA" w:rsidRDefault="009F2CC6" w:rsidP="00726906">
      <w:pPr>
        <w:jc w:val="center"/>
        <w:rPr>
          <w:rFonts w:ascii="Times New Roman" w:hAnsi="Times New Roman"/>
          <w:bCs/>
          <w:lang w:val="bg-BG"/>
        </w:rPr>
      </w:pPr>
    </w:p>
    <w:p w14:paraId="1608E7A1" w14:textId="77777777" w:rsidR="00DB238A" w:rsidRPr="002548EA" w:rsidRDefault="00DB238A" w:rsidP="00726906">
      <w:pPr>
        <w:jc w:val="center"/>
        <w:rPr>
          <w:rFonts w:ascii="Times New Roman" w:hAnsi="Times New Roman"/>
          <w:bCs/>
          <w:lang w:val="bg-BG"/>
        </w:rPr>
      </w:pPr>
    </w:p>
    <w:p w14:paraId="73A7757E" w14:textId="75E6EA0C" w:rsidR="00AA3C3A" w:rsidRPr="00AA3C3A" w:rsidRDefault="001D6269" w:rsidP="00DC1610">
      <w:pPr>
        <w:tabs>
          <w:tab w:val="left" w:pos="8647"/>
          <w:tab w:val="left" w:pos="9356"/>
        </w:tabs>
        <w:spacing w:before="120" w:line="288" w:lineRule="auto"/>
        <w:ind w:left="1701" w:right="753" w:hanging="567"/>
        <w:jc w:val="both"/>
        <w:rPr>
          <w:rFonts w:ascii="Arial" w:hAnsi="Arial" w:cs="Arial"/>
          <w:b/>
          <w:smallCaps/>
          <w:sz w:val="28"/>
          <w:szCs w:val="28"/>
        </w:rPr>
      </w:pPr>
      <w:r w:rsidRPr="00996D36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EE7F5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A3C3A" w:rsidRPr="00AA3C3A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</w:t>
      </w:r>
      <w:r w:rsidR="006A5980">
        <w:rPr>
          <w:rFonts w:ascii="Arial" w:hAnsi="Arial" w:cs="Arial"/>
          <w:b/>
          <w:smallCaps/>
          <w:sz w:val="28"/>
          <w:szCs w:val="28"/>
          <w:lang w:val="bg-BG"/>
        </w:rPr>
        <w:t xml:space="preserve">на </w:t>
      </w:r>
      <w:r w:rsidR="00AA3C3A" w:rsidRPr="00AA3C3A">
        <w:rPr>
          <w:rFonts w:ascii="Arial" w:hAnsi="Arial" w:cs="Arial"/>
          <w:b/>
          <w:smallCaps/>
          <w:sz w:val="28"/>
          <w:szCs w:val="28"/>
          <w:lang w:val="bg-BG"/>
        </w:rPr>
        <w:t xml:space="preserve">финансиране на Министерството на транспорта и съобщенията </w:t>
      </w:r>
      <w:r w:rsidR="00AA3C3A" w:rsidRPr="00AA3C3A">
        <w:rPr>
          <w:rFonts w:ascii="Arial" w:hAnsi="Arial" w:cs="Arial"/>
          <w:b/>
          <w:smallCaps/>
          <w:sz w:val="28"/>
          <w:szCs w:val="28"/>
        </w:rPr>
        <w:t xml:space="preserve">и </w:t>
      </w:r>
      <w:r w:rsidR="00AA3C3A" w:rsidRPr="00AA3C3A">
        <w:rPr>
          <w:rFonts w:ascii="Arial" w:hAnsi="Arial" w:cs="Arial"/>
          <w:b/>
          <w:smallCaps/>
          <w:sz w:val="28"/>
          <w:szCs w:val="28"/>
          <w:lang w:val="bg-BG"/>
        </w:rPr>
        <w:t>за финансиране на трансфери за общини за</w:t>
      </w:r>
      <w:r w:rsidR="00AA3C3A" w:rsidRPr="00AA3C3A">
        <w:rPr>
          <w:rFonts w:ascii="Arial" w:hAnsi="Arial" w:cs="Arial"/>
          <w:b/>
          <w:smallCaps/>
          <w:sz w:val="28"/>
          <w:szCs w:val="28"/>
        </w:rPr>
        <w:t xml:space="preserve"> 2026 г.</w:t>
      </w:r>
    </w:p>
    <w:p w14:paraId="28E28A97" w14:textId="77777777" w:rsidR="00891781" w:rsidRPr="002548EA" w:rsidRDefault="00891781" w:rsidP="006A5735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15EB9D99" w14:textId="67343CC2" w:rsidR="008B1025" w:rsidRPr="00996D36" w:rsidRDefault="00AA3C3A" w:rsidP="00EE7F56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A3C3A">
        <w:rPr>
          <w:rFonts w:ascii="Arial" w:hAnsi="Arial" w:cs="Arial" w:hint="eastAsia"/>
          <w:sz w:val="28"/>
          <w:szCs w:val="28"/>
          <w:lang w:val="bg-BG"/>
        </w:rPr>
        <w:t>На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чл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ал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. 3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от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за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събирането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на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приходи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и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на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разходи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г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.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до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приемането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на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за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бюджет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на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за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г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.,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за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на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държавното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осигуряване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за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br/>
      </w:r>
      <w:r w:rsidRPr="00AA3C3A">
        <w:rPr>
          <w:rFonts w:ascii="Arial" w:hAnsi="Arial" w:cs="Arial"/>
          <w:sz w:val="28"/>
          <w:szCs w:val="28"/>
          <w:lang w:val="bg-BG"/>
        </w:rPr>
        <w:t xml:space="preserve">2026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г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.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и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за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на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здравноосигурителна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каса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за</w:t>
      </w:r>
      <w:r w:rsidRPr="00AA3C3A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AA3C3A">
        <w:rPr>
          <w:rFonts w:ascii="Arial" w:hAnsi="Arial" w:cs="Arial" w:hint="eastAsia"/>
          <w:sz w:val="28"/>
          <w:szCs w:val="28"/>
          <w:lang w:val="bg-BG"/>
        </w:rPr>
        <w:t>г</w:t>
      </w:r>
      <w:r w:rsidRPr="00AA3C3A">
        <w:rPr>
          <w:rFonts w:ascii="Arial" w:hAnsi="Arial" w:cs="Arial"/>
          <w:sz w:val="28"/>
          <w:szCs w:val="28"/>
          <w:lang w:val="bg-BG"/>
        </w:rPr>
        <w:t>.</w:t>
      </w:r>
    </w:p>
    <w:p w14:paraId="0B09A8CA" w14:textId="77777777" w:rsidR="008B1025" w:rsidRPr="002548EA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C9CF553" w14:textId="77777777" w:rsidR="008B1025" w:rsidRPr="002548EA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C7C1D82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084F272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755E0BF" w14:textId="77777777" w:rsidR="001F7504" w:rsidRPr="002548EA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449BD75A" w14:textId="77777777" w:rsidR="00C6062F" w:rsidRPr="002548EA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58487768" w14:textId="05EBE83A" w:rsidR="00AA3C3A" w:rsidRPr="00AA3C3A" w:rsidRDefault="00AA3C3A" w:rsidP="00AA3C3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A3C3A">
        <w:rPr>
          <w:rFonts w:cs="Arial"/>
          <w:bCs/>
          <w:sz w:val="28"/>
          <w:szCs w:val="28"/>
        </w:rPr>
        <w:t>1.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Одобрява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финансиране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Министерството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транспорта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съобщенията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2026 </w:t>
      </w:r>
      <w:r w:rsidRPr="00AA3C3A">
        <w:rPr>
          <w:rFonts w:cs="Arial" w:hint="eastAsia"/>
          <w:b w:val="0"/>
          <w:sz w:val="28"/>
          <w:szCs w:val="28"/>
        </w:rPr>
        <w:t>г</w:t>
      </w:r>
      <w:r w:rsidRPr="00AA3C3A">
        <w:rPr>
          <w:rFonts w:cs="Arial"/>
          <w:b w:val="0"/>
          <w:sz w:val="28"/>
          <w:szCs w:val="28"/>
        </w:rPr>
        <w:t xml:space="preserve">.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субсидии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нефинансови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предприятия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в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размер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14 855 590 </w:t>
      </w:r>
      <w:r w:rsidRPr="00AA3C3A">
        <w:rPr>
          <w:rFonts w:cs="Arial" w:hint="eastAsia"/>
          <w:b w:val="0"/>
          <w:sz w:val="28"/>
          <w:szCs w:val="28"/>
        </w:rPr>
        <w:t>евро</w:t>
      </w:r>
      <w:r w:rsidRPr="00AA3C3A">
        <w:rPr>
          <w:rFonts w:cs="Arial"/>
          <w:b w:val="0"/>
          <w:sz w:val="28"/>
          <w:szCs w:val="28"/>
        </w:rPr>
        <w:t xml:space="preserve">, </w:t>
      </w:r>
      <w:r w:rsidRPr="00AA3C3A">
        <w:rPr>
          <w:rFonts w:cs="Arial" w:hint="eastAsia"/>
          <w:b w:val="0"/>
          <w:sz w:val="28"/>
          <w:szCs w:val="28"/>
        </w:rPr>
        <w:t>разпределени</w:t>
      </w:r>
      <w:r>
        <w:rPr>
          <w:rFonts w:cs="Arial"/>
          <w:b w:val="0"/>
          <w:sz w:val="28"/>
          <w:szCs w:val="28"/>
        </w:rPr>
        <w:t>,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както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следва</w:t>
      </w:r>
      <w:r w:rsidRPr="00AA3C3A">
        <w:rPr>
          <w:rFonts w:cs="Arial"/>
          <w:b w:val="0"/>
          <w:sz w:val="28"/>
          <w:szCs w:val="28"/>
        </w:rPr>
        <w:t>:</w:t>
      </w:r>
    </w:p>
    <w:p w14:paraId="6F19BE8C" w14:textId="4CC7A5C0" w:rsidR="00AA3C3A" w:rsidRPr="00AA3C3A" w:rsidRDefault="00AA3C3A" w:rsidP="00AA3C3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A3C3A">
        <w:rPr>
          <w:rFonts w:cs="Arial" w:hint="eastAsia"/>
          <w:b w:val="0"/>
          <w:sz w:val="28"/>
          <w:szCs w:val="28"/>
        </w:rPr>
        <w:t>а</w:t>
      </w:r>
      <w:r w:rsidRPr="00AA3C3A">
        <w:rPr>
          <w:rFonts w:cs="Arial"/>
          <w:b w:val="0"/>
          <w:sz w:val="28"/>
          <w:szCs w:val="28"/>
        </w:rPr>
        <w:t xml:space="preserve">)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„</w:t>
      </w:r>
      <w:r w:rsidRPr="00AA3C3A">
        <w:rPr>
          <w:rFonts w:cs="Arial" w:hint="eastAsia"/>
          <w:b w:val="0"/>
          <w:sz w:val="28"/>
          <w:szCs w:val="28"/>
        </w:rPr>
        <w:t>БДЖ</w:t>
      </w:r>
      <w:r w:rsidRPr="00AA3C3A">
        <w:rPr>
          <w:rFonts w:cs="Arial"/>
          <w:b w:val="0"/>
          <w:sz w:val="28"/>
          <w:szCs w:val="28"/>
        </w:rPr>
        <w:t xml:space="preserve"> – </w:t>
      </w:r>
      <w:r w:rsidRPr="00AA3C3A">
        <w:rPr>
          <w:rFonts w:cs="Arial" w:hint="eastAsia"/>
          <w:b w:val="0"/>
          <w:sz w:val="28"/>
          <w:szCs w:val="28"/>
        </w:rPr>
        <w:t>Пътнически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превози“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ЕООД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в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размер</w:t>
      </w:r>
      <w:r w:rsidRPr="00AA3C3A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  <w:lang w:val="en-US"/>
        </w:rPr>
        <w:br/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5 825 920 </w:t>
      </w:r>
      <w:r w:rsidRPr="00AA3C3A">
        <w:rPr>
          <w:rFonts w:cs="Arial" w:hint="eastAsia"/>
          <w:b w:val="0"/>
          <w:sz w:val="28"/>
          <w:szCs w:val="28"/>
        </w:rPr>
        <w:t>евро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субсидии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превоз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пътници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дългосрочен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договор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извършване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обществени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превозни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услуги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в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областта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железопътния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транспорт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територията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Република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България</w:t>
      </w:r>
      <w:r w:rsidRPr="00AA3C3A">
        <w:rPr>
          <w:rFonts w:cs="Arial"/>
          <w:b w:val="0"/>
          <w:sz w:val="28"/>
          <w:szCs w:val="28"/>
        </w:rPr>
        <w:t>;</w:t>
      </w:r>
    </w:p>
    <w:p w14:paraId="49B00508" w14:textId="222E8EF1" w:rsidR="00AA3C3A" w:rsidRPr="00AA3C3A" w:rsidRDefault="00AA3C3A" w:rsidP="00AA3C3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A3C3A">
        <w:rPr>
          <w:rFonts w:cs="Arial" w:hint="eastAsia"/>
          <w:b w:val="0"/>
          <w:sz w:val="28"/>
          <w:szCs w:val="28"/>
        </w:rPr>
        <w:lastRenderedPageBreak/>
        <w:t>б</w:t>
      </w:r>
      <w:r w:rsidRPr="00AA3C3A">
        <w:rPr>
          <w:rFonts w:cs="Arial"/>
          <w:b w:val="0"/>
          <w:sz w:val="28"/>
          <w:szCs w:val="28"/>
        </w:rPr>
        <w:t xml:space="preserve">)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Национална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компания</w:t>
      </w:r>
      <w:r w:rsidRPr="00AA3C3A">
        <w:rPr>
          <w:rFonts w:cs="Arial"/>
          <w:b w:val="0"/>
          <w:sz w:val="28"/>
          <w:szCs w:val="28"/>
        </w:rPr>
        <w:t xml:space="preserve"> „</w:t>
      </w:r>
      <w:r w:rsidRPr="00AA3C3A">
        <w:rPr>
          <w:rFonts w:cs="Arial" w:hint="eastAsia"/>
          <w:b w:val="0"/>
          <w:sz w:val="28"/>
          <w:szCs w:val="28"/>
        </w:rPr>
        <w:t>Железопътна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инфраструктура“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в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размер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9 029 670 </w:t>
      </w:r>
      <w:r w:rsidRPr="00AA3C3A">
        <w:rPr>
          <w:rFonts w:cs="Arial" w:hint="eastAsia"/>
          <w:b w:val="0"/>
          <w:sz w:val="28"/>
          <w:szCs w:val="28"/>
        </w:rPr>
        <w:t>евро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субсидии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осигуряване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текущото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поддържане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експлоатация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железопътната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инфраструктура</w:t>
      </w:r>
      <w:r w:rsidRPr="00AA3C3A">
        <w:rPr>
          <w:rFonts w:cs="Arial"/>
          <w:b w:val="0"/>
          <w:sz w:val="28"/>
          <w:szCs w:val="28"/>
        </w:rPr>
        <w:t>.</w:t>
      </w:r>
    </w:p>
    <w:p w14:paraId="00BDEDA2" w14:textId="33759583" w:rsidR="00AA3C3A" w:rsidRPr="00AA3C3A" w:rsidRDefault="00AA3C3A" w:rsidP="00AA3C3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A3C3A">
        <w:rPr>
          <w:rFonts w:cs="Arial"/>
          <w:bCs/>
          <w:sz w:val="28"/>
          <w:szCs w:val="28"/>
        </w:rPr>
        <w:t>2.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Одобрява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финансиране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трансфери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други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целеви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разходи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общини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2026 </w:t>
      </w:r>
      <w:r w:rsidRPr="00AA3C3A">
        <w:rPr>
          <w:rFonts w:cs="Arial" w:hint="eastAsia"/>
          <w:b w:val="0"/>
          <w:sz w:val="28"/>
          <w:szCs w:val="28"/>
        </w:rPr>
        <w:t>г</w:t>
      </w:r>
      <w:r w:rsidRPr="00AA3C3A">
        <w:rPr>
          <w:rFonts w:cs="Arial"/>
          <w:b w:val="0"/>
          <w:sz w:val="28"/>
          <w:szCs w:val="28"/>
        </w:rPr>
        <w:t xml:space="preserve">. </w:t>
      </w:r>
      <w:r w:rsidRPr="00AA3C3A">
        <w:rPr>
          <w:rFonts w:cs="Arial" w:hint="eastAsia"/>
          <w:b w:val="0"/>
          <w:sz w:val="28"/>
          <w:szCs w:val="28"/>
        </w:rPr>
        <w:t>в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общ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размер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11 440 726 </w:t>
      </w:r>
      <w:r w:rsidRPr="00AA3C3A">
        <w:rPr>
          <w:rFonts w:cs="Arial" w:hint="eastAsia"/>
          <w:b w:val="0"/>
          <w:sz w:val="28"/>
          <w:szCs w:val="28"/>
        </w:rPr>
        <w:t>евро</w:t>
      </w:r>
      <w:r w:rsidRPr="00AA3C3A">
        <w:rPr>
          <w:rFonts w:cs="Arial"/>
          <w:b w:val="0"/>
          <w:sz w:val="28"/>
          <w:szCs w:val="28"/>
        </w:rPr>
        <w:t xml:space="preserve">, </w:t>
      </w:r>
      <w:r w:rsidRPr="00AA3C3A">
        <w:rPr>
          <w:rFonts w:cs="Arial" w:hint="eastAsia"/>
          <w:b w:val="0"/>
          <w:sz w:val="28"/>
          <w:szCs w:val="28"/>
        </w:rPr>
        <w:t>разпределени</w:t>
      </w:r>
      <w:r w:rsidR="00F57DDC">
        <w:rPr>
          <w:rFonts w:cs="Arial"/>
          <w:b w:val="0"/>
          <w:sz w:val="28"/>
          <w:szCs w:val="28"/>
        </w:rPr>
        <w:t>,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както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следва</w:t>
      </w:r>
      <w:r w:rsidRPr="00AA3C3A">
        <w:rPr>
          <w:rFonts w:cs="Arial"/>
          <w:b w:val="0"/>
          <w:sz w:val="28"/>
          <w:szCs w:val="28"/>
        </w:rPr>
        <w:t>:</w:t>
      </w:r>
    </w:p>
    <w:p w14:paraId="11521EA5" w14:textId="66BF74D6" w:rsidR="00AA3C3A" w:rsidRPr="00AA3C3A" w:rsidRDefault="00AA3C3A" w:rsidP="00AA3C3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A3C3A">
        <w:rPr>
          <w:rFonts w:cs="Arial" w:hint="eastAsia"/>
          <w:b w:val="0"/>
          <w:sz w:val="28"/>
          <w:szCs w:val="28"/>
        </w:rPr>
        <w:t>а</w:t>
      </w:r>
      <w:r w:rsidRPr="00AA3C3A">
        <w:rPr>
          <w:rFonts w:cs="Arial"/>
          <w:b w:val="0"/>
          <w:sz w:val="28"/>
          <w:szCs w:val="28"/>
        </w:rPr>
        <w:t xml:space="preserve">)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изплащане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субсидии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превоз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пътници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нерентабилни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автобусни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линии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във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вътрешноградския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транспорт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транспорта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в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планински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други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райони</w:t>
      </w:r>
      <w:r w:rsidRPr="00AA3C3A">
        <w:rPr>
          <w:rFonts w:cs="Arial"/>
          <w:b w:val="0"/>
          <w:sz w:val="28"/>
          <w:szCs w:val="28"/>
        </w:rPr>
        <w:t xml:space="preserve"> – 5 787 626 </w:t>
      </w:r>
      <w:r w:rsidRPr="00AA3C3A">
        <w:rPr>
          <w:rFonts w:cs="Arial" w:hint="eastAsia"/>
          <w:b w:val="0"/>
          <w:sz w:val="28"/>
          <w:szCs w:val="28"/>
        </w:rPr>
        <w:t>евро</w:t>
      </w:r>
      <w:r w:rsidRPr="00AA3C3A">
        <w:rPr>
          <w:rFonts w:cs="Arial"/>
          <w:b w:val="0"/>
          <w:sz w:val="28"/>
          <w:szCs w:val="28"/>
        </w:rPr>
        <w:t xml:space="preserve">, </w:t>
      </w:r>
      <w:r w:rsidRPr="00AA3C3A">
        <w:rPr>
          <w:rFonts w:cs="Arial" w:hint="eastAsia"/>
          <w:b w:val="0"/>
          <w:sz w:val="28"/>
          <w:szCs w:val="28"/>
        </w:rPr>
        <w:t>разпределени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общини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съгласно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приложението</w:t>
      </w:r>
      <w:r w:rsidRPr="00AA3C3A">
        <w:rPr>
          <w:rFonts w:cs="Arial"/>
          <w:b w:val="0"/>
          <w:sz w:val="28"/>
          <w:szCs w:val="28"/>
        </w:rPr>
        <w:t>;</w:t>
      </w:r>
    </w:p>
    <w:p w14:paraId="166E5BAA" w14:textId="59F2222A" w:rsidR="00AA3C3A" w:rsidRPr="00AA3C3A" w:rsidRDefault="00AA3C3A" w:rsidP="00AA3C3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A3C3A">
        <w:rPr>
          <w:rFonts w:cs="Arial" w:hint="eastAsia"/>
          <w:b w:val="0"/>
          <w:sz w:val="28"/>
          <w:szCs w:val="28"/>
        </w:rPr>
        <w:t>б</w:t>
      </w:r>
      <w:r w:rsidRPr="00AA3C3A">
        <w:rPr>
          <w:rFonts w:cs="Arial"/>
          <w:b w:val="0"/>
          <w:sz w:val="28"/>
          <w:szCs w:val="28"/>
        </w:rPr>
        <w:t xml:space="preserve">)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Столична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община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в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размер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5 653 100 </w:t>
      </w:r>
      <w:r w:rsidRPr="00AA3C3A">
        <w:rPr>
          <w:rFonts w:cs="Arial" w:hint="eastAsia"/>
          <w:b w:val="0"/>
          <w:sz w:val="28"/>
          <w:szCs w:val="28"/>
        </w:rPr>
        <w:t>евро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финансиране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изпълнението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дейности</w:t>
      </w:r>
      <w:r w:rsidRPr="00AA3C3A">
        <w:rPr>
          <w:rFonts w:cs="Arial"/>
          <w:b w:val="0"/>
          <w:sz w:val="28"/>
          <w:szCs w:val="28"/>
        </w:rPr>
        <w:t xml:space="preserve">, </w:t>
      </w:r>
      <w:r w:rsidRPr="00AA3C3A">
        <w:rPr>
          <w:rFonts w:cs="Arial" w:hint="eastAsia"/>
          <w:b w:val="0"/>
          <w:sz w:val="28"/>
          <w:szCs w:val="28"/>
        </w:rPr>
        <w:t>свързани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транспортната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политика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общината</w:t>
      </w:r>
      <w:r w:rsidRPr="00AA3C3A">
        <w:rPr>
          <w:rFonts w:cs="Arial"/>
          <w:b w:val="0"/>
          <w:sz w:val="28"/>
          <w:szCs w:val="28"/>
        </w:rPr>
        <w:t>.</w:t>
      </w:r>
    </w:p>
    <w:p w14:paraId="22BF3ED2" w14:textId="07C55EC0" w:rsidR="00AA3C3A" w:rsidRPr="00AA3C3A" w:rsidRDefault="00AA3C3A" w:rsidP="00AA3C3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A3C3A">
        <w:rPr>
          <w:rFonts w:cs="Arial"/>
          <w:bCs/>
          <w:sz w:val="28"/>
          <w:szCs w:val="28"/>
        </w:rPr>
        <w:t>3.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Средствата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т</w:t>
      </w:r>
      <w:r w:rsidRPr="00AA3C3A">
        <w:rPr>
          <w:rFonts w:cs="Arial"/>
          <w:b w:val="0"/>
          <w:sz w:val="28"/>
          <w:szCs w:val="28"/>
        </w:rPr>
        <w:t xml:space="preserve">. 1 </w:t>
      </w:r>
      <w:r w:rsidRPr="00AA3C3A">
        <w:rPr>
          <w:rFonts w:cs="Arial" w:hint="eastAsia"/>
          <w:b w:val="0"/>
          <w:sz w:val="28"/>
          <w:szCs w:val="28"/>
        </w:rPr>
        <w:t>да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се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предвидят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бюджета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Министерството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транспорта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съобщенията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в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хода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актуализиране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разчетите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проекта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Закон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държавния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бюджет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Република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България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2026 </w:t>
      </w:r>
      <w:r w:rsidRPr="00AA3C3A">
        <w:rPr>
          <w:rFonts w:cs="Arial" w:hint="eastAsia"/>
          <w:b w:val="0"/>
          <w:sz w:val="28"/>
          <w:szCs w:val="28"/>
        </w:rPr>
        <w:t>г</w:t>
      </w:r>
      <w:r w:rsidRPr="00AA3C3A">
        <w:rPr>
          <w:rFonts w:cs="Arial"/>
          <w:b w:val="0"/>
          <w:sz w:val="28"/>
          <w:szCs w:val="28"/>
        </w:rPr>
        <w:t>.</w:t>
      </w:r>
    </w:p>
    <w:p w14:paraId="1DD9C702" w14:textId="14289DDB" w:rsidR="00AA3C3A" w:rsidRPr="00AA3C3A" w:rsidRDefault="00AA3C3A" w:rsidP="00AA3C3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A3C3A">
        <w:rPr>
          <w:rFonts w:cs="Arial"/>
          <w:bCs/>
          <w:sz w:val="28"/>
          <w:szCs w:val="28"/>
        </w:rPr>
        <w:t>4.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Средствата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т</w:t>
      </w:r>
      <w:r w:rsidRPr="00AA3C3A">
        <w:rPr>
          <w:rFonts w:cs="Arial"/>
          <w:b w:val="0"/>
          <w:sz w:val="28"/>
          <w:szCs w:val="28"/>
        </w:rPr>
        <w:t xml:space="preserve">. 2 </w:t>
      </w:r>
      <w:r w:rsidRPr="00AA3C3A">
        <w:rPr>
          <w:rFonts w:cs="Arial" w:hint="eastAsia"/>
          <w:b w:val="0"/>
          <w:sz w:val="28"/>
          <w:szCs w:val="28"/>
        </w:rPr>
        <w:t>се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одобряват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реда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чл</w:t>
      </w:r>
      <w:r w:rsidRPr="00AA3C3A">
        <w:rPr>
          <w:rFonts w:cs="Arial"/>
          <w:b w:val="0"/>
          <w:sz w:val="28"/>
          <w:szCs w:val="28"/>
        </w:rPr>
        <w:t xml:space="preserve">. 109, </w:t>
      </w:r>
      <w:r w:rsidRPr="00AA3C3A">
        <w:rPr>
          <w:rFonts w:cs="Arial" w:hint="eastAsia"/>
          <w:b w:val="0"/>
          <w:sz w:val="28"/>
          <w:szCs w:val="28"/>
        </w:rPr>
        <w:t>ал</w:t>
      </w:r>
      <w:r w:rsidRPr="00AA3C3A">
        <w:rPr>
          <w:rFonts w:cs="Arial"/>
          <w:b w:val="0"/>
          <w:sz w:val="28"/>
          <w:szCs w:val="28"/>
        </w:rPr>
        <w:t xml:space="preserve">. 3 </w:t>
      </w:r>
      <w:r w:rsidRPr="00AA3C3A">
        <w:rPr>
          <w:rFonts w:cs="Arial" w:hint="eastAsia"/>
          <w:b w:val="0"/>
          <w:sz w:val="28"/>
          <w:szCs w:val="28"/>
        </w:rPr>
        <w:t>от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Закона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публичните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финанси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след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влизането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в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сила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Закона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държавния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бюджет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Република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България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за</w:t>
      </w:r>
      <w:r w:rsidRPr="00AA3C3A">
        <w:rPr>
          <w:rFonts w:cs="Arial"/>
          <w:b w:val="0"/>
          <w:sz w:val="28"/>
          <w:szCs w:val="28"/>
        </w:rPr>
        <w:t xml:space="preserve"> 2026 </w:t>
      </w:r>
      <w:r w:rsidRPr="00AA3C3A">
        <w:rPr>
          <w:rFonts w:cs="Arial" w:hint="eastAsia"/>
          <w:b w:val="0"/>
          <w:sz w:val="28"/>
          <w:szCs w:val="28"/>
        </w:rPr>
        <w:t>г</w:t>
      </w:r>
      <w:r w:rsidRPr="00AA3C3A">
        <w:rPr>
          <w:rFonts w:cs="Arial"/>
          <w:b w:val="0"/>
          <w:sz w:val="28"/>
          <w:szCs w:val="28"/>
        </w:rPr>
        <w:t>.</w:t>
      </w:r>
    </w:p>
    <w:p w14:paraId="46B46936" w14:textId="46865D6C" w:rsidR="00AA3C3A" w:rsidRPr="00AA3C3A" w:rsidRDefault="00AA3C3A" w:rsidP="00AA3C3A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A3C3A">
        <w:rPr>
          <w:rFonts w:cs="Arial"/>
          <w:bCs/>
          <w:sz w:val="28"/>
          <w:szCs w:val="28"/>
        </w:rPr>
        <w:t>5.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Изпълнението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решението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се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възлага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министъра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транспорта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съобщенията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и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="00F57DDC">
        <w:rPr>
          <w:rFonts w:cs="Arial"/>
          <w:b w:val="0"/>
          <w:sz w:val="28"/>
          <w:szCs w:val="28"/>
        </w:rPr>
        <w:t xml:space="preserve">на </w:t>
      </w:r>
      <w:r w:rsidRPr="00AA3C3A">
        <w:rPr>
          <w:rFonts w:cs="Arial" w:hint="eastAsia"/>
          <w:b w:val="0"/>
          <w:sz w:val="28"/>
          <w:szCs w:val="28"/>
        </w:rPr>
        <w:t>кметовете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на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съответните</w:t>
      </w:r>
      <w:r w:rsidRPr="00AA3C3A">
        <w:rPr>
          <w:rFonts w:cs="Arial"/>
          <w:b w:val="0"/>
          <w:sz w:val="28"/>
          <w:szCs w:val="28"/>
        </w:rPr>
        <w:t xml:space="preserve"> </w:t>
      </w:r>
      <w:r w:rsidRPr="00AA3C3A">
        <w:rPr>
          <w:rFonts w:cs="Arial" w:hint="eastAsia"/>
          <w:b w:val="0"/>
          <w:sz w:val="28"/>
          <w:szCs w:val="28"/>
        </w:rPr>
        <w:t>общини</w:t>
      </w:r>
      <w:r w:rsidRPr="00AA3C3A">
        <w:rPr>
          <w:rFonts w:cs="Arial"/>
          <w:b w:val="0"/>
          <w:sz w:val="28"/>
          <w:szCs w:val="28"/>
        </w:rPr>
        <w:t>.</w:t>
      </w:r>
    </w:p>
    <w:p w14:paraId="32F79626" w14:textId="77777777" w:rsidR="007F1FEE" w:rsidRPr="00005ECE" w:rsidRDefault="007F1FEE" w:rsidP="001B3520">
      <w:pPr>
        <w:pStyle w:val="BodyText"/>
        <w:ind w:firstLine="1134"/>
        <w:jc w:val="both"/>
        <w:rPr>
          <w:rFonts w:ascii="Times New Roman" w:hAnsi="Times New Roman"/>
          <w:b w:val="0"/>
          <w:szCs w:val="24"/>
        </w:rPr>
      </w:pPr>
    </w:p>
    <w:p w14:paraId="5F47F4AA" w14:textId="77777777" w:rsidR="00F322F9" w:rsidRPr="00005ECE" w:rsidRDefault="00F322F9" w:rsidP="001B3520">
      <w:pPr>
        <w:pStyle w:val="BodyText"/>
        <w:ind w:firstLine="1134"/>
        <w:jc w:val="both"/>
        <w:rPr>
          <w:rFonts w:ascii="Times New Roman" w:hAnsi="Times New Roman"/>
          <w:b w:val="0"/>
          <w:szCs w:val="24"/>
        </w:rPr>
      </w:pPr>
    </w:p>
    <w:p w14:paraId="6681F4D3" w14:textId="77777777" w:rsidR="009F2CC6" w:rsidRDefault="009F2CC6" w:rsidP="001B3520">
      <w:pPr>
        <w:pStyle w:val="BodyText"/>
        <w:ind w:firstLine="1134"/>
        <w:jc w:val="both"/>
        <w:rPr>
          <w:rFonts w:ascii="Times New Roman" w:hAnsi="Times New Roman"/>
          <w:b w:val="0"/>
          <w:szCs w:val="24"/>
        </w:rPr>
      </w:pPr>
    </w:p>
    <w:p w14:paraId="598A7661" w14:textId="77777777" w:rsidR="000D1A84" w:rsidRPr="00005ECE" w:rsidRDefault="000D1A84" w:rsidP="001B3520">
      <w:pPr>
        <w:pStyle w:val="BodyText"/>
        <w:ind w:firstLine="1134"/>
        <w:jc w:val="both"/>
        <w:rPr>
          <w:rFonts w:ascii="Times New Roman" w:hAnsi="Times New Roman"/>
          <w:b w:val="0"/>
          <w:szCs w:val="24"/>
        </w:rPr>
      </w:pPr>
    </w:p>
    <w:p w14:paraId="7D12EE2F" w14:textId="77777777" w:rsidR="000D1A84" w:rsidRPr="002E6F31" w:rsidRDefault="000D1A84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 xml:space="preserve">МИНИСТЪР-ПРЕДСЕДАТЕЛ: /п/ </w:t>
      </w:r>
      <w:proofErr w:type="spellStart"/>
      <w:r w:rsidRPr="002E6F31">
        <w:rPr>
          <w:rFonts w:ascii="Arial" w:hAnsi="Arial" w:cs="Arial"/>
          <w:b/>
          <w:bCs/>
          <w:szCs w:val="24"/>
        </w:rPr>
        <w:t>Андрей</w:t>
      </w:r>
      <w:proofErr w:type="spellEnd"/>
      <w:r w:rsidRPr="002E6F31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2E6F31">
        <w:rPr>
          <w:rFonts w:ascii="Arial" w:hAnsi="Arial" w:cs="Arial"/>
          <w:b/>
          <w:bCs/>
          <w:szCs w:val="24"/>
        </w:rPr>
        <w:t>Гюров</w:t>
      </w:r>
      <w:proofErr w:type="spellEnd"/>
    </w:p>
    <w:p w14:paraId="5A4878CF" w14:textId="77777777" w:rsidR="000D1A84" w:rsidRPr="002E6F31" w:rsidRDefault="000D1A84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294F813B" w14:textId="77777777" w:rsidR="000D1A84" w:rsidRPr="002E6F31" w:rsidRDefault="000D1A84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6A1D7AB7" w14:textId="77777777" w:rsidR="000D1A84" w:rsidRPr="002E6F31" w:rsidRDefault="000D1A84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 xml:space="preserve">МИНИСТЕРСКИЯ СЪВЕТ: /п/ Мария </w:t>
      </w:r>
      <w:proofErr w:type="spellStart"/>
      <w:r w:rsidRPr="002E6F31">
        <w:rPr>
          <w:rFonts w:ascii="Arial" w:hAnsi="Arial" w:cs="Arial"/>
          <w:b/>
          <w:bCs/>
          <w:szCs w:val="24"/>
        </w:rPr>
        <w:t>Томова</w:t>
      </w:r>
      <w:proofErr w:type="spellEnd"/>
    </w:p>
    <w:p w14:paraId="07F9A6DC" w14:textId="77777777" w:rsidR="000D1A84" w:rsidRPr="002E6F31" w:rsidRDefault="000D1A84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0F82FA60" w14:textId="77777777" w:rsidR="000D1A84" w:rsidRPr="002E6F31" w:rsidRDefault="000D1A84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0D1A84" w:rsidRPr="002E6F31" w:rsidSect="00676DD7">
      <w:headerReference w:type="even" r:id="rId8"/>
      <w:headerReference w:type="default" r:id="rId9"/>
      <w:pgSz w:w="11907" w:h="16840" w:code="9"/>
      <w:pgMar w:top="1276" w:right="1463" w:bottom="1276" w:left="1469" w:header="85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B763" w14:textId="77777777" w:rsidR="00370C8E" w:rsidRDefault="00370C8E">
      <w:r>
        <w:separator/>
      </w:r>
    </w:p>
  </w:endnote>
  <w:endnote w:type="continuationSeparator" w:id="0">
    <w:p w14:paraId="3A3EA4CD" w14:textId="77777777" w:rsidR="00370C8E" w:rsidRDefault="0037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79CA" w14:textId="77777777" w:rsidR="00370C8E" w:rsidRDefault="00370C8E">
      <w:r>
        <w:separator/>
      </w:r>
    </w:p>
  </w:footnote>
  <w:footnote w:type="continuationSeparator" w:id="0">
    <w:p w14:paraId="6E4F9711" w14:textId="77777777" w:rsidR="00370C8E" w:rsidRDefault="0037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12BE" w14:textId="46857954" w:rsidR="002249F9" w:rsidRDefault="002249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12D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D9DA77" w14:textId="77777777" w:rsidR="002249F9" w:rsidRDefault="00224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1F00" w14:textId="77777777" w:rsidR="002249F9" w:rsidRPr="00F912DA" w:rsidRDefault="002249F9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F912DA">
      <w:rPr>
        <w:rStyle w:val="PageNumber"/>
        <w:rFonts w:ascii="Times New Roman" w:hAnsi="Times New Roman"/>
      </w:rPr>
      <w:fldChar w:fldCharType="begin"/>
    </w:r>
    <w:r w:rsidRPr="00F912DA">
      <w:rPr>
        <w:rStyle w:val="PageNumber"/>
        <w:rFonts w:ascii="Times New Roman" w:hAnsi="Times New Roman"/>
      </w:rPr>
      <w:instrText xml:space="preserve">PAGE  </w:instrText>
    </w:r>
    <w:r w:rsidRPr="00F912DA">
      <w:rPr>
        <w:rStyle w:val="PageNumber"/>
        <w:rFonts w:ascii="Times New Roman" w:hAnsi="Times New Roman"/>
      </w:rPr>
      <w:fldChar w:fldCharType="separate"/>
    </w:r>
    <w:r w:rsidR="006A5735" w:rsidRPr="00F912DA">
      <w:rPr>
        <w:rStyle w:val="PageNumber"/>
        <w:rFonts w:ascii="Times New Roman" w:hAnsi="Times New Roman"/>
        <w:noProof/>
      </w:rPr>
      <w:t>2</w:t>
    </w:r>
    <w:r w:rsidRPr="00F912DA">
      <w:rPr>
        <w:rStyle w:val="PageNumber"/>
        <w:rFonts w:ascii="Times New Roman" w:hAnsi="Times New Roman"/>
      </w:rPr>
      <w:fldChar w:fldCharType="end"/>
    </w:r>
  </w:p>
  <w:p w14:paraId="5232807F" w14:textId="77777777" w:rsidR="002249F9" w:rsidRPr="00F912DA" w:rsidRDefault="002249F9">
    <w:pPr>
      <w:pStyle w:val="Header"/>
      <w:rPr>
        <w:rFonts w:ascii="Times New Roman" w:hAnsi="Times New Roman"/>
      </w:rPr>
    </w:pPr>
  </w:p>
  <w:p w14:paraId="767857A2" w14:textId="77777777" w:rsidR="002249F9" w:rsidRPr="00F912DA" w:rsidRDefault="002249F9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400443383">
    <w:abstractNumId w:val="5"/>
  </w:num>
  <w:num w:numId="2" w16cid:durableId="1474105873">
    <w:abstractNumId w:val="13"/>
  </w:num>
  <w:num w:numId="3" w16cid:durableId="1039548058">
    <w:abstractNumId w:val="4"/>
  </w:num>
  <w:num w:numId="4" w16cid:durableId="1728986820">
    <w:abstractNumId w:val="17"/>
  </w:num>
  <w:num w:numId="5" w16cid:durableId="686324597">
    <w:abstractNumId w:val="9"/>
  </w:num>
  <w:num w:numId="6" w16cid:durableId="218366419">
    <w:abstractNumId w:val="10"/>
  </w:num>
  <w:num w:numId="7" w16cid:durableId="672415052">
    <w:abstractNumId w:val="2"/>
  </w:num>
  <w:num w:numId="8" w16cid:durableId="1499883939">
    <w:abstractNumId w:val="0"/>
  </w:num>
  <w:num w:numId="9" w16cid:durableId="1294142915">
    <w:abstractNumId w:val="11"/>
  </w:num>
  <w:num w:numId="10" w16cid:durableId="739324345">
    <w:abstractNumId w:val="15"/>
  </w:num>
  <w:num w:numId="11" w16cid:durableId="1067648566">
    <w:abstractNumId w:val="8"/>
  </w:num>
  <w:num w:numId="12" w16cid:durableId="1676491174">
    <w:abstractNumId w:val="7"/>
  </w:num>
  <w:num w:numId="13" w16cid:durableId="1477645914">
    <w:abstractNumId w:val="1"/>
  </w:num>
  <w:num w:numId="14" w16cid:durableId="1030836178">
    <w:abstractNumId w:val="3"/>
  </w:num>
  <w:num w:numId="15" w16cid:durableId="1666784938">
    <w:abstractNumId w:val="6"/>
  </w:num>
  <w:num w:numId="16" w16cid:durableId="350181581">
    <w:abstractNumId w:val="16"/>
  </w:num>
  <w:num w:numId="17" w16cid:durableId="155001386">
    <w:abstractNumId w:val="14"/>
  </w:num>
  <w:num w:numId="18" w16cid:durableId="1410493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5ECE"/>
    <w:rsid w:val="00006A13"/>
    <w:rsid w:val="00011241"/>
    <w:rsid w:val="00015FFC"/>
    <w:rsid w:val="00024F93"/>
    <w:rsid w:val="0002767E"/>
    <w:rsid w:val="00034055"/>
    <w:rsid w:val="00036C2C"/>
    <w:rsid w:val="00037836"/>
    <w:rsid w:val="000460CE"/>
    <w:rsid w:val="0005049B"/>
    <w:rsid w:val="0005158E"/>
    <w:rsid w:val="00051E98"/>
    <w:rsid w:val="00061C17"/>
    <w:rsid w:val="000707EB"/>
    <w:rsid w:val="000730C7"/>
    <w:rsid w:val="00074B33"/>
    <w:rsid w:val="00080CB1"/>
    <w:rsid w:val="00086972"/>
    <w:rsid w:val="00086B4F"/>
    <w:rsid w:val="00086EA2"/>
    <w:rsid w:val="00092DC8"/>
    <w:rsid w:val="000935B2"/>
    <w:rsid w:val="00097C39"/>
    <w:rsid w:val="000A1B00"/>
    <w:rsid w:val="000A2839"/>
    <w:rsid w:val="000A30DF"/>
    <w:rsid w:val="000A6A24"/>
    <w:rsid w:val="000B6FDF"/>
    <w:rsid w:val="000C2E0E"/>
    <w:rsid w:val="000C4CB8"/>
    <w:rsid w:val="000C7A8E"/>
    <w:rsid w:val="000D1A84"/>
    <w:rsid w:val="000D1C81"/>
    <w:rsid w:val="000D2995"/>
    <w:rsid w:val="000E10D8"/>
    <w:rsid w:val="000E2CE1"/>
    <w:rsid w:val="000F4C8F"/>
    <w:rsid w:val="000F7C8C"/>
    <w:rsid w:val="00101A59"/>
    <w:rsid w:val="001066D1"/>
    <w:rsid w:val="001122FB"/>
    <w:rsid w:val="00113D36"/>
    <w:rsid w:val="001207D0"/>
    <w:rsid w:val="0012444C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7575C"/>
    <w:rsid w:val="0018229E"/>
    <w:rsid w:val="00195F4C"/>
    <w:rsid w:val="001A0778"/>
    <w:rsid w:val="001A29B9"/>
    <w:rsid w:val="001A4DE0"/>
    <w:rsid w:val="001B3520"/>
    <w:rsid w:val="001C51FE"/>
    <w:rsid w:val="001C56C1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548EA"/>
    <w:rsid w:val="00266CC5"/>
    <w:rsid w:val="00277D3B"/>
    <w:rsid w:val="0028035E"/>
    <w:rsid w:val="002855FD"/>
    <w:rsid w:val="0029038B"/>
    <w:rsid w:val="002A36FC"/>
    <w:rsid w:val="002B54E5"/>
    <w:rsid w:val="002B5B11"/>
    <w:rsid w:val="002D00AF"/>
    <w:rsid w:val="002D43C8"/>
    <w:rsid w:val="002E0D9F"/>
    <w:rsid w:val="002E0EB9"/>
    <w:rsid w:val="002E5489"/>
    <w:rsid w:val="002E6F83"/>
    <w:rsid w:val="002F4374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2E4F"/>
    <w:rsid w:val="003567C6"/>
    <w:rsid w:val="00370C8E"/>
    <w:rsid w:val="003848C5"/>
    <w:rsid w:val="00394B6E"/>
    <w:rsid w:val="00397C5E"/>
    <w:rsid w:val="003A337E"/>
    <w:rsid w:val="003B72E2"/>
    <w:rsid w:val="003B77D2"/>
    <w:rsid w:val="003C30E0"/>
    <w:rsid w:val="003D42F8"/>
    <w:rsid w:val="003E6849"/>
    <w:rsid w:val="003F1592"/>
    <w:rsid w:val="00400570"/>
    <w:rsid w:val="0040560B"/>
    <w:rsid w:val="00411635"/>
    <w:rsid w:val="00411BD8"/>
    <w:rsid w:val="00412979"/>
    <w:rsid w:val="00416E4C"/>
    <w:rsid w:val="00425346"/>
    <w:rsid w:val="00426BFB"/>
    <w:rsid w:val="0043366B"/>
    <w:rsid w:val="00434DE4"/>
    <w:rsid w:val="00441F42"/>
    <w:rsid w:val="00451F95"/>
    <w:rsid w:val="004603D2"/>
    <w:rsid w:val="004605FB"/>
    <w:rsid w:val="00460885"/>
    <w:rsid w:val="00477ABF"/>
    <w:rsid w:val="00485EBB"/>
    <w:rsid w:val="004A670A"/>
    <w:rsid w:val="004B5AEA"/>
    <w:rsid w:val="004C1650"/>
    <w:rsid w:val="004C2B4D"/>
    <w:rsid w:val="004C3F25"/>
    <w:rsid w:val="004C45AA"/>
    <w:rsid w:val="004C5465"/>
    <w:rsid w:val="004C5884"/>
    <w:rsid w:val="004E17D6"/>
    <w:rsid w:val="004E2965"/>
    <w:rsid w:val="004E48CF"/>
    <w:rsid w:val="004F0854"/>
    <w:rsid w:val="00517B06"/>
    <w:rsid w:val="00522543"/>
    <w:rsid w:val="00522C2C"/>
    <w:rsid w:val="00524543"/>
    <w:rsid w:val="00534D78"/>
    <w:rsid w:val="00535F44"/>
    <w:rsid w:val="00540889"/>
    <w:rsid w:val="00552705"/>
    <w:rsid w:val="00552AC9"/>
    <w:rsid w:val="00552C47"/>
    <w:rsid w:val="00566B12"/>
    <w:rsid w:val="005826EA"/>
    <w:rsid w:val="005847F5"/>
    <w:rsid w:val="0059280A"/>
    <w:rsid w:val="005A361E"/>
    <w:rsid w:val="005B1DD8"/>
    <w:rsid w:val="005B52D0"/>
    <w:rsid w:val="005D44AE"/>
    <w:rsid w:val="005F26D1"/>
    <w:rsid w:val="005F47C0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0379"/>
    <w:rsid w:val="00672C7F"/>
    <w:rsid w:val="006735FF"/>
    <w:rsid w:val="00674BD8"/>
    <w:rsid w:val="00675451"/>
    <w:rsid w:val="00676DD7"/>
    <w:rsid w:val="00677476"/>
    <w:rsid w:val="0067757E"/>
    <w:rsid w:val="00680076"/>
    <w:rsid w:val="00681E05"/>
    <w:rsid w:val="00693562"/>
    <w:rsid w:val="006961FE"/>
    <w:rsid w:val="006967B2"/>
    <w:rsid w:val="006A2089"/>
    <w:rsid w:val="006A5735"/>
    <w:rsid w:val="006A5980"/>
    <w:rsid w:val="006B1546"/>
    <w:rsid w:val="006B43E7"/>
    <w:rsid w:val="006B67D4"/>
    <w:rsid w:val="006C09A0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070"/>
    <w:rsid w:val="006E3F29"/>
    <w:rsid w:val="006E42D2"/>
    <w:rsid w:val="006E564D"/>
    <w:rsid w:val="006F0E1F"/>
    <w:rsid w:val="006F563D"/>
    <w:rsid w:val="0070718B"/>
    <w:rsid w:val="0071354B"/>
    <w:rsid w:val="00716221"/>
    <w:rsid w:val="00724B9D"/>
    <w:rsid w:val="0072548E"/>
    <w:rsid w:val="00725957"/>
    <w:rsid w:val="00726906"/>
    <w:rsid w:val="00726B6E"/>
    <w:rsid w:val="007523CF"/>
    <w:rsid w:val="00754899"/>
    <w:rsid w:val="00764F35"/>
    <w:rsid w:val="00770007"/>
    <w:rsid w:val="00776126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1FEE"/>
    <w:rsid w:val="0080417B"/>
    <w:rsid w:val="00805E4E"/>
    <w:rsid w:val="0080619E"/>
    <w:rsid w:val="00812135"/>
    <w:rsid w:val="00821C9D"/>
    <w:rsid w:val="00822F40"/>
    <w:rsid w:val="0083109A"/>
    <w:rsid w:val="0083376A"/>
    <w:rsid w:val="00834400"/>
    <w:rsid w:val="00835DAA"/>
    <w:rsid w:val="00840C26"/>
    <w:rsid w:val="00852F50"/>
    <w:rsid w:val="00854ABA"/>
    <w:rsid w:val="00855B3D"/>
    <w:rsid w:val="00856269"/>
    <w:rsid w:val="0085780F"/>
    <w:rsid w:val="00864895"/>
    <w:rsid w:val="00877AC3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06EFC"/>
    <w:rsid w:val="009138BE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A9"/>
    <w:rsid w:val="00992D7F"/>
    <w:rsid w:val="00996D36"/>
    <w:rsid w:val="009A1D72"/>
    <w:rsid w:val="009A60FF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06334"/>
    <w:rsid w:val="00A12729"/>
    <w:rsid w:val="00A1429E"/>
    <w:rsid w:val="00A15461"/>
    <w:rsid w:val="00A1623F"/>
    <w:rsid w:val="00A24B99"/>
    <w:rsid w:val="00A33F68"/>
    <w:rsid w:val="00A34691"/>
    <w:rsid w:val="00A373EB"/>
    <w:rsid w:val="00A50594"/>
    <w:rsid w:val="00A50770"/>
    <w:rsid w:val="00A54686"/>
    <w:rsid w:val="00A54B45"/>
    <w:rsid w:val="00A62706"/>
    <w:rsid w:val="00A638CF"/>
    <w:rsid w:val="00A73237"/>
    <w:rsid w:val="00AA0C90"/>
    <w:rsid w:val="00AA30D1"/>
    <w:rsid w:val="00AA3C3A"/>
    <w:rsid w:val="00AB7A56"/>
    <w:rsid w:val="00AC1A84"/>
    <w:rsid w:val="00B06E97"/>
    <w:rsid w:val="00B07F73"/>
    <w:rsid w:val="00B10FE9"/>
    <w:rsid w:val="00B251A0"/>
    <w:rsid w:val="00B301A8"/>
    <w:rsid w:val="00B369B8"/>
    <w:rsid w:val="00B46C83"/>
    <w:rsid w:val="00B50878"/>
    <w:rsid w:val="00B531E7"/>
    <w:rsid w:val="00B5540D"/>
    <w:rsid w:val="00B6196A"/>
    <w:rsid w:val="00B65D59"/>
    <w:rsid w:val="00B6751A"/>
    <w:rsid w:val="00B7560C"/>
    <w:rsid w:val="00B914BD"/>
    <w:rsid w:val="00B927A2"/>
    <w:rsid w:val="00B9720D"/>
    <w:rsid w:val="00B973B7"/>
    <w:rsid w:val="00BA161F"/>
    <w:rsid w:val="00BA3B94"/>
    <w:rsid w:val="00BA77BC"/>
    <w:rsid w:val="00BB76B0"/>
    <w:rsid w:val="00BC0B22"/>
    <w:rsid w:val="00BD4322"/>
    <w:rsid w:val="00C02BA3"/>
    <w:rsid w:val="00C07002"/>
    <w:rsid w:val="00C1446C"/>
    <w:rsid w:val="00C226A0"/>
    <w:rsid w:val="00C2659E"/>
    <w:rsid w:val="00C318F6"/>
    <w:rsid w:val="00C32E16"/>
    <w:rsid w:val="00C34026"/>
    <w:rsid w:val="00C350E9"/>
    <w:rsid w:val="00C3796C"/>
    <w:rsid w:val="00C40C90"/>
    <w:rsid w:val="00C54ED5"/>
    <w:rsid w:val="00C6062F"/>
    <w:rsid w:val="00C62BF4"/>
    <w:rsid w:val="00C72903"/>
    <w:rsid w:val="00C74210"/>
    <w:rsid w:val="00C8211F"/>
    <w:rsid w:val="00C9078A"/>
    <w:rsid w:val="00CB1412"/>
    <w:rsid w:val="00CB6E59"/>
    <w:rsid w:val="00CC3531"/>
    <w:rsid w:val="00CD238B"/>
    <w:rsid w:val="00CD33DB"/>
    <w:rsid w:val="00CE4720"/>
    <w:rsid w:val="00CE552E"/>
    <w:rsid w:val="00CE5D54"/>
    <w:rsid w:val="00CE64BF"/>
    <w:rsid w:val="00CF55F0"/>
    <w:rsid w:val="00D00089"/>
    <w:rsid w:val="00D13941"/>
    <w:rsid w:val="00D2337C"/>
    <w:rsid w:val="00D33F4F"/>
    <w:rsid w:val="00D53E7B"/>
    <w:rsid w:val="00D56030"/>
    <w:rsid w:val="00D670DF"/>
    <w:rsid w:val="00D72A02"/>
    <w:rsid w:val="00D8797A"/>
    <w:rsid w:val="00D90055"/>
    <w:rsid w:val="00DA7B4F"/>
    <w:rsid w:val="00DB238A"/>
    <w:rsid w:val="00DC1610"/>
    <w:rsid w:val="00DC61E0"/>
    <w:rsid w:val="00DC7A9F"/>
    <w:rsid w:val="00DE2FED"/>
    <w:rsid w:val="00DF0B3F"/>
    <w:rsid w:val="00DF3385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4E1B"/>
    <w:rsid w:val="00E66730"/>
    <w:rsid w:val="00E70758"/>
    <w:rsid w:val="00E72592"/>
    <w:rsid w:val="00E74C94"/>
    <w:rsid w:val="00E76BA8"/>
    <w:rsid w:val="00E8041D"/>
    <w:rsid w:val="00E804A6"/>
    <w:rsid w:val="00E86A59"/>
    <w:rsid w:val="00E93E14"/>
    <w:rsid w:val="00EA210E"/>
    <w:rsid w:val="00EA23A7"/>
    <w:rsid w:val="00EA6290"/>
    <w:rsid w:val="00EB2E6A"/>
    <w:rsid w:val="00EB3FD5"/>
    <w:rsid w:val="00EC209C"/>
    <w:rsid w:val="00EC78A4"/>
    <w:rsid w:val="00ED1CC7"/>
    <w:rsid w:val="00EE0D31"/>
    <w:rsid w:val="00EE7F56"/>
    <w:rsid w:val="00EF645F"/>
    <w:rsid w:val="00F00BF6"/>
    <w:rsid w:val="00F05118"/>
    <w:rsid w:val="00F07ED1"/>
    <w:rsid w:val="00F17634"/>
    <w:rsid w:val="00F30DCA"/>
    <w:rsid w:val="00F315D6"/>
    <w:rsid w:val="00F322F9"/>
    <w:rsid w:val="00F34CA2"/>
    <w:rsid w:val="00F36D41"/>
    <w:rsid w:val="00F37BC6"/>
    <w:rsid w:val="00F5026F"/>
    <w:rsid w:val="00F5106A"/>
    <w:rsid w:val="00F53286"/>
    <w:rsid w:val="00F569B6"/>
    <w:rsid w:val="00F57DDC"/>
    <w:rsid w:val="00F65F0B"/>
    <w:rsid w:val="00F70550"/>
    <w:rsid w:val="00F90138"/>
    <w:rsid w:val="00F912DA"/>
    <w:rsid w:val="00F928C9"/>
    <w:rsid w:val="00F94FD8"/>
    <w:rsid w:val="00F954F5"/>
    <w:rsid w:val="00F969A4"/>
    <w:rsid w:val="00FA145D"/>
    <w:rsid w:val="00FA5CA9"/>
    <w:rsid w:val="00FB0893"/>
    <w:rsid w:val="00FB4F1A"/>
    <w:rsid w:val="00FB7F1C"/>
    <w:rsid w:val="00FC572C"/>
    <w:rsid w:val="00FC5C48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A0BFA"/>
  <w15:chartTrackingRefBased/>
  <w15:docId w15:val="{B0EB59D7-9053-4EF7-9D16-F1BC0300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93AF9-ACFB-48BF-BAA4-3AF42FB2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2026-03-12T13:56:00Z</cp:lastPrinted>
  <dcterms:created xsi:type="dcterms:W3CDTF">2026-03-13T11:06:00Z</dcterms:created>
  <dcterms:modified xsi:type="dcterms:W3CDTF">2026-03-13T11:06:00Z</dcterms:modified>
</cp:coreProperties>
</file>