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7EA7" w14:textId="3B669687" w:rsidR="00F15B22" w:rsidRDefault="00F15B22">
      <w:pPr>
        <w:tabs>
          <w:tab w:val="left" w:pos="1985"/>
        </w:tabs>
        <w:jc w:val="center"/>
        <w:rPr>
          <w:rFonts w:ascii="Times New Roman" w:hAnsi="Times New Roman"/>
          <w:noProof/>
        </w:rPr>
      </w:pPr>
    </w:p>
    <w:p w14:paraId="096C89BD" w14:textId="77777777" w:rsidR="00F15B22" w:rsidRPr="005B4B37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B4B37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23ECCC90" w14:textId="77777777" w:rsidR="00F15B22" w:rsidRPr="005B4B37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B4B37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5B4B3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E706CEE" w14:textId="45841B75" w:rsidR="00F15B22" w:rsidRPr="0064730C" w:rsidRDefault="00DB28E8" w:rsidP="00FE3EA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A0FBE47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bg-BG"/>
        </w:rPr>
      </w:pPr>
    </w:p>
    <w:p w14:paraId="59037F23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ru-RU"/>
        </w:rPr>
      </w:pPr>
    </w:p>
    <w:p w14:paraId="76313748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bg-BG"/>
        </w:rPr>
      </w:pPr>
    </w:p>
    <w:p w14:paraId="5922AFA1" w14:textId="76045152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ru-RU"/>
        </w:rPr>
      </w:pP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B28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263</w:t>
      </w:r>
    </w:p>
    <w:p w14:paraId="22B891AD" w14:textId="77777777" w:rsidR="00F15B22" w:rsidRPr="005B4B37" w:rsidRDefault="00F15B22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1DB959B0" w14:textId="55386AFA" w:rsidR="00F15B22" w:rsidRPr="005B4B37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B28E8">
        <w:rPr>
          <w:rFonts w:ascii="Times New Roman" w:hAnsi="Times New Roman"/>
          <w:b/>
          <w:sz w:val="30"/>
          <w:szCs w:val="30"/>
          <w:lang w:val="bg-BG"/>
        </w:rPr>
        <w:t>2 април</w:t>
      </w:r>
      <w:r w:rsidR="00003717" w:rsidRPr="005B4B37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0658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25A8">
        <w:rPr>
          <w:rFonts w:ascii="Times New Roman" w:hAnsi="Times New Roman"/>
          <w:b/>
          <w:sz w:val="30"/>
          <w:szCs w:val="30"/>
          <w:lang w:val="en-US"/>
        </w:rPr>
        <w:t>6</w:t>
      </w: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6AB2857C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5DB7CA00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6ECD47AD" w14:textId="77C0D3A2" w:rsidR="005824E5" w:rsidRPr="008F5B2C" w:rsidRDefault="00F15B22" w:rsidP="000F4CA3">
      <w:pPr>
        <w:spacing w:before="120" w:line="288" w:lineRule="auto"/>
        <w:ind w:left="1701" w:hanging="567"/>
        <w:jc w:val="both"/>
        <w:rPr>
          <w:rFonts w:ascii="Arial" w:hAnsi="Arial" w:cs="Arial"/>
          <w:b/>
          <w:bCs/>
          <w:caps/>
          <w:sz w:val="26"/>
          <w:szCs w:val="26"/>
          <w:lang w:val="bg-BG"/>
        </w:rPr>
      </w:pPr>
      <w:r w:rsidRPr="008F5B2C">
        <w:rPr>
          <w:rFonts w:ascii="Arial" w:hAnsi="Arial" w:cs="Arial"/>
          <w:b/>
          <w:bCs/>
          <w:caps/>
          <w:sz w:val="26"/>
          <w:szCs w:val="26"/>
          <w:lang w:val="bg-BG"/>
        </w:rPr>
        <w:t xml:space="preserve">ЗА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одобряване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Доклад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състоянието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отбраната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въоръжените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сили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Република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България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2025 </w:t>
      </w:r>
      <w:r w:rsidR="000F4CA3" w:rsidRPr="000F4CA3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г</w:t>
      </w:r>
      <w:r w:rsidR="000F4CA3" w:rsidRPr="000F4CA3">
        <w:rPr>
          <w:rFonts w:ascii="Arial" w:hAnsi="Arial" w:cs="Arial"/>
          <w:b/>
          <w:bCs/>
          <w:smallCaps/>
          <w:sz w:val="26"/>
          <w:szCs w:val="26"/>
          <w:lang w:val="bg-BG"/>
        </w:rPr>
        <w:t>.</w:t>
      </w:r>
    </w:p>
    <w:p w14:paraId="5443A458" w14:textId="77777777" w:rsidR="005824E5" w:rsidRPr="005E7869" w:rsidRDefault="005824E5" w:rsidP="005E7869">
      <w:pPr>
        <w:jc w:val="both"/>
        <w:rPr>
          <w:rFonts w:ascii="Arial" w:hAnsi="Arial" w:cs="Arial"/>
          <w:sz w:val="26"/>
          <w:szCs w:val="26"/>
          <w:lang w:val="bg-BG"/>
        </w:rPr>
      </w:pPr>
    </w:p>
    <w:p w14:paraId="42049E68" w14:textId="1B21BDC9" w:rsidR="005824E5" w:rsidRPr="005E7869" w:rsidRDefault="005824E5" w:rsidP="005E786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E7869">
        <w:rPr>
          <w:rFonts w:ascii="Arial" w:hAnsi="Arial"/>
          <w:sz w:val="26"/>
          <w:szCs w:val="26"/>
          <w:lang w:val="bg-BG"/>
        </w:rPr>
        <w:t xml:space="preserve">На основание чл. 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23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от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Закона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за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отбраната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и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въоръжените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сили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на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Република</w:t>
      </w:r>
      <w:r w:rsidR="000F4CA3" w:rsidRPr="000F4CA3">
        <w:rPr>
          <w:rFonts w:ascii="Arial" w:hAnsi="Arial"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sz w:val="26"/>
          <w:szCs w:val="26"/>
          <w:lang w:val="bg-BG"/>
        </w:rPr>
        <w:t>България</w:t>
      </w:r>
    </w:p>
    <w:p w14:paraId="463DDED6" w14:textId="77777777" w:rsidR="000E7514" w:rsidRPr="000E7514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E9A9687" w14:textId="77777777" w:rsidR="000E7514" w:rsidRPr="000E7514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1B8D8A45" w14:textId="77777777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1FFE28A6" w14:textId="77777777" w:rsidR="00F15B22" w:rsidRPr="005B4B37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746A28E4" w14:textId="77777777" w:rsidR="00F15B22" w:rsidRPr="000E7514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7AFA2B3" w14:textId="77777777" w:rsidR="00F15B22" w:rsidRPr="000E7514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180167D9" w14:textId="0200B2EE" w:rsidR="005824E5" w:rsidRPr="00AE6990" w:rsidRDefault="005334BE" w:rsidP="005E7869">
      <w:pPr>
        <w:spacing w:before="120" w:line="288" w:lineRule="auto"/>
        <w:ind w:firstLine="1134"/>
        <w:jc w:val="both"/>
        <w:rPr>
          <w:rFonts w:ascii="Arial" w:hAnsi="Arial"/>
          <w:bCs/>
          <w:sz w:val="26"/>
          <w:szCs w:val="26"/>
          <w:lang w:val="ru-RU"/>
        </w:rPr>
      </w:pPr>
      <w:r w:rsidRPr="00AE6990">
        <w:rPr>
          <w:rFonts w:ascii="Arial" w:hAnsi="Arial"/>
          <w:b/>
          <w:sz w:val="26"/>
          <w:szCs w:val="26"/>
          <w:lang w:val="bg-BG"/>
        </w:rPr>
        <w:t>1.</w:t>
      </w:r>
      <w:r w:rsidRPr="00AE6990">
        <w:rPr>
          <w:rFonts w:ascii="Arial" w:hAnsi="Arial"/>
          <w:sz w:val="26"/>
          <w:szCs w:val="26"/>
          <w:lang w:val="bg-BG"/>
        </w:rPr>
        <w:t xml:space="preserve"> </w:t>
      </w:r>
      <w:r w:rsidR="005824E5" w:rsidRPr="00AE6990">
        <w:rPr>
          <w:rFonts w:ascii="Arial" w:hAnsi="Arial"/>
          <w:bCs/>
          <w:sz w:val="26"/>
          <w:szCs w:val="26"/>
          <w:lang w:val="bg-BG"/>
        </w:rPr>
        <w:t xml:space="preserve">Одобрява </w:t>
      </w:r>
      <w:r w:rsidR="000F4CA3">
        <w:rPr>
          <w:rFonts w:ascii="Arial" w:hAnsi="Arial"/>
          <w:bCs/>
          <w:sz w:val="26"/>
          <w:szCs w:val="26"/>
          <w:lang w:val="bg-BG"/>
        </w:rPr>
        <w:t xml:space="preserve">Доклада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за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състоянието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на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отбраната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и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въоръжените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сили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на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Република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България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за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2025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г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.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съгласно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0F4CA3" w:rsidRPr="000F4CA3">
        <w:rPr>
          <w:rFonts w:ascii="Arial" w:hAnsi="Arial" w:hint="eastAsia"/>
          <w:bCs/>
          <w:sz w:val="26"/>
          <w:szCs w:val="26"/>
          <w:lang w:val="bg-BG"/>
        </w:rPr>
        <w:t>приложението</w:t>
      </w:r>
      <w:r w:rsidR="000F4CA3" w:rsidRPr="000F4CA3">
        <w:rPr>
          <w:rFonts w:ascii="Arial" w:hAnsi="Arial"/>
          <w:bCs/>
          <w:sz w:val="26"/>
          <w:szCs w:val="26"/>
          <w:lang w:val="bg-BG"/>
        </w:rPr>
        <w:t>.</w:t>
      </w:r>
    </w:p>
    <w:p w14:paraId="08F9B9DD" w14:textId="2DF00B3F" w:rsidR="00EF3641" w:rsidRPr="00AE6990" w:rsidRDefault="00EF3641" w:rsidP="005E7869">
      <w:pPr>
        <w:spacing w:before="120" w:line="288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E6990">
        <w:rPr>
          <w:rFonts w:ascii="Arial" w:hAnsi="Arial"/>
          <w:b/>
          <w:bCs/>
          <w:sz w:val="26"/>
          <w:szCs w:val="26"/>
          <w:lang w:val="bg-BG"/>
        </w:rPr>
        <w:t>2.</w:t>
      </w:r>
      <w:r w:rsidRPr="00AE6990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0F4CA3">
        <w:rPr>
          <w:rFonts w:ascii="Arial" w:hAnsi="Arial"/>
          <w:bCs/>
          <w:color w:val="000000"/>
          <w:sz w:val="26"/>
          <w:szCs w:val="26"/>
          <w:lang w:val="bg-BG"/>
        </w:rPr>
        <w:t xml:space="preserve">Предлага на Народното събрание </w:t>
      </w:r>
      <w:r w:rsidRPr="000F4CA3">
        <w:rPr>
          <w:rFonts w:ascii="Arial" w:hAnsi="Arial"/>
          <w:color w:val="000000"/>
          <w:sz w:val="26"/>
          <w:szCs w:val="26"/>
          <w:lang w:val="bg-BG"/>
        </w:rPr>
        <w:t xml:space="preserve">да </w:t>
      </w:r>
      <w:r w:rsidR="000F4CA3" w:rsidRPr="000F4CA3">
        <w:rPr>
          <w:rFonts w:ascii="Arial" w:hAnsi="Arial"/>
          <w:color w:val="000000"/>
          <w:sz w:val="26"/>
          <w:szCs w:val="26"/>
          <w:lang w:val="bg-BG"/>
        </w:rPr>
        <w:t>разгледа и приеме Доклада за състоянието на отбраната и въоръжените сили на Република България за 2025 г.</w:t>
      </w:r>
    </w:p>
    <w:p w14:paraId="397A7154" w14:textId="77777777" w:rsidR="000E7514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295A6501" w14:textId="77777777" w:rsidR="000E7514" w:rsidRPr="005B4B37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3F5ADA75" w14:textId="77777777" w:rsidR="00DB28E8" w:rsidRPr="005C52E8" w:rsidRDefault="00DB28E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1B7B7FE4" w14:textId="77777777" w:rsidR="00DB28E8" w:rsidRPr="005C52E8" w:rsidRDefault="00DB28E8">
      <w:pPr>
        <w:ind w:firstLine="1134"/>
        <w:rPr>
          <w:rFonts w:ascii="Arial" w:hAnsi="Arial" w:cs="Arial"/>
          <w:b/>
        </w:rPr>
      </w:pPr>
    </w:p>
    <w:p w14:paraId="6BE608F2" w14:textId="77777777" w:rsidR="00DB28E8" w:rsidRPr="005C52E8" w:rsidRDefault="00DB28E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72F211D0" w14:textId="77777777" w:rsidR="00DB28E8" w:rsidRPr="005C52E8" w:rsidRDefault="00DB28E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4BA259F7" w14:textId="77777777" w:rsidR="00DB28E8" w:rsidRPr="005C52E8" w:rsidRDefault="00DB28E8">
      <w:pPr>
        <w:rPr>
          <w:rFonts w:ascii="Arial" w:hAnsi="Arial" w:cs="Arial"/>
          <w:b/>
        </w:rPr>
      </w:pPr>
    </w:p>
    <w:p w14:paraId="2E191A10" w14:textId="77777777" w:rsidR="00430CF2" w:rsidRPr="005B4B37" w:rsidRDefault="00430CF2">
      <w:pPr>
        <w:rPr>
          <w:rFonts w:ascii="Times New Roman" w:hAnsi="Times New Roman"/>
          <w:lang w:val="ru-RU"/>
        </w:rPr>
        <w:sectPr w:rsidR="00430CF2" w:rsidRPr="005B4B37" w:rsidSect="00B449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93" w:right="1463" w:bottom="1418" w:left="1469" w:header="1021" w:footer="709" w:gutter="0"/>
          <w:cols w:space="708"/>
          <w:noEndnote/>
          <w:titlePg/>
        </w:sectPr>
      </w:pPr>
    </w:p>
    <w:p w14:paraId="14099230" w14:textId="77777777" w:rsidR="00430CF2" w:rsidRPr="005B4B37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4E39F2A9" w14:textId="77777777" w:rsidR="00430CF2" w:rsidRPr="005B4B37" w:rsidRDefault="00430C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201F1237" w14:textId="77777777" w:rsidR="00430CF2" w:rsidRPr="005B4B37" w:rsidRDefault="00430CF2">
      <w:pPr>
        <w:jc w:val="right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630A9322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27BB6050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5A6A922F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45770CF6" w14:textId="77777777" w:rsidR="00430CF2" w:rsidRPr="00DD7035" w:rsidRDefault="00430CF2">
      <w:pPr>
        <w:pStyle w:val="Heading1"/>
        <w:rPr>
          <w:rFonts w:ascii="Times New Roman" w:hAnsi="Times New Roman"/>
          <w:sz w:val="40"/>
          <w:szCs w:val="40"/>
        </w:rPr>
      </w:pPr>
      <w:r w:rsidRPr="00DD7035">
        <w:rPr>
          <w:rFonts w:ascii="Times New Roman" w:hAnsi="Times New Roman"/>
          <w:sz w:val="40"/>
          <w:szCs w:val="40"/>
        </w:rPr>
        <w:t>Р Е Ш Е Н И Е</w:t>
      </w:r>
    </w:p>
    <w:p w14:paraId="033904D3" w14:textId="77777777" w:rsidR="00430CF2" w:rsidRPr="009908C6" w:rsidRDefault="00430CF2" w:rsidP="005E78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7AC2C2" w14:textId="35511490" w:rsidR="00430CF2" w:rsidRPr="00AE6990" w:rsidRDefault="0068245F" w:rsidP="00DD2287">
      <w:pPr>
        <w:spacing w:before="120" w:line="288" w:lineRule="auto"/>
        <w:ind w:left="1559" w:hanging="425"/>
        <w:jc w:val="both"/>
        <w:rPr>
          <w:rFonts w:ascii="Arial" w:hAnsi="Arial"/>
          <w:b/>
          <w:smallCaps/>
          <w:sz w:val="26"/>
          <w:szCs w:val="26"/>
          <w:lang w:val="ru-RU"/>
        </w:rPr>
      </w:pPr>
      <w:r w:rsidRPr="00AE6990">
        <w:rPr>
          <w:rFonts w:ascii="Arial" w:hAnsi="Arial"/>
          <w:b/>
          <w:smallCaps/>
          <w:sz w:val="26"/>
          <w:szCs w:val="26"/>
          <w:lang w:val="bg-BG"/>
        </w:rPr>
        <w:t>ЗА</w:t>
      </w:r>
      <w:r w:rsidR="00430CF2" w:rsidRPr="00AE6990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приемане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на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Доклада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за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състоянието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на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отбраната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и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въоръжените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сили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на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Република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България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за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 xml:space="preserve"> 2025 </w:t>
      </w:r>
      <w:r w:rsidR="00D669BF" w:rsidRPr="00D669BF">
        <w:rPr>
          <w:rFonts w:ascii="Arial" w:hAnsi="Arial" w:hint="eastAsia"/>
          <w:b/>
          <w:smallCaps/>
          <w:sz w:val="26"/>
          <w:szCs w:val="26"/>
          <w:lang w:val="bg-BG"/>
        </w:rPr>
        <w:t>г</w:t>
      </w:r>
      <w:r w:rsidR="00D669BF" w:rsidRPr="00D669BF">
        <w:rPr>
          <w:rFonts w:ascii="Arial" w:hAnsi="Arial"/>
          <w:b/>
          <w:smallCaps/>
          <w:sz w:val="26"/>
          <w:szCs w:val="26"/>
          <w:lang w:val="bg-BG"/>
        </w:rPr>
        <w:t>.</w:t>
      </w:r>
    </w:p>
    <w:p w14:paraId="298E577C" w14:textId="77777777" w:rsidR="00430CF2" w:rsidRPr="00DD2287" w:rsidRDefault="00430CF2" w:rsidP="00DD2287">
      <w:pPr>
        <w:spacing w:before="120" w:line="288" w:lineRule="auto"/>
        <w:ind w:firstLine="1134"/>
        <w:jc w:val="both"/>
        <w:rPr>
          <w:rFonts w:ascii="Arial" w:hAnsi="Arial"/>
          <w:szCs w:val="24"/>
          <w:lang w:val="bg-BG"/>
        </w:rPr>
      </w:pPr>
    </w:p>
    <w:p w14:paraId="54BEF3B5" w14:textId="047E6407" w:rsidR="00430CF2" w:rsidRPr="006906E7" w:rsidRDefault="00430CF2" w:rsidP="009908C6">
      <w:pPr>
        <w:pStyle w:val="BodyTextIndent2"/>
        <w:spacing w:before="120" w:line="288" w:lineRule="auto"/>
        <w:rPr>
          <w:rFonts w:ascii="Arial" w:hAnsi="Arial"/>
          <w:szCs w:val="26"/>
        </w:rPr>
      </w:pPr>
      <w:r w:rsidRPr="006906E7">
        <w:rPr>
          <w:rFonts w:ascii="Arial" w:hAnsi="Arial"/>
          <w:szCs w:val="26"/>
        </w:rPr>
        <w:t>Народното събрание на основание чл.</w:t>
      </w:r>
      <w:r w:rsidR="0021255C" w:rsidRPr="006906E7">
        <w:rPr>
          <w:rFonts w:ascii="Arial" w:hAnsi="Arial"/>
          <w:szCs w:val="26"/>
        </w:rPr>
        <w:t xml:space="preserve"> </w:t>
      </w:r>
      <w:r w:rsidR="006906E7" w:rsidRPr="006906E7">
        <w:rPr>
          <w:rFonts w:ascii="Arial" w:hAnsi="Arial"/>
          <w:szCs w:val="26"/>
        </w:rPr>
        <w:t>86, ал. 1 от Конституцията на Република България и чл. 23 от Закона за отбраната и въоръжените сили на Република България</w:t>
      </w:r>
    </w:p>
    <w:p w14:paraId="3C98416B" w14:textId="77777777" w:rsidR="0080580B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38127778" w14:textId="77777777" w:rsidR="0080580B" w:rsidRPr="005B4B37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377E0904" w14:textId="77777777" w:rsidR="00430CF2" w:rsidRPr="00DD7035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D7035">
        <w:rPr>
          <w:rFonts w:ascii="Times New Roman" w:hAnsi="Times New Roman"/>
          <w:b/>
          <w:sz w:val="32"/>
          <w:szCs w:val="32"/>
          <w:lang w:val="bg-BG"/>
        </w:rPr>
        <w:t>Р Е Ш И:</w:t>
      </w:r>
    </w:p>
    <w:p w14:paraId="792CB0CC" w14:textId="77777777" w:rsidR="00430CF2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428773DA" w14:textId="77777777" w:rsidR="0080580B" w:rsidRPr="005B4B37" w:rsidRDefault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617441D8" w14:textId="4ED3BE4A" w:rsidR="00430CF2" w:rsidRPr="00DD2287" w:rsidRDefault="006906E7" w:rsidP="00DD2287">
      <w:pPr>
        <w:spacing w:before="120" w:line="288" w:lineRule="auto"/>
        <w:ind w:firstLine="1134"/>
        <w:jc w:val="both"/>
        <w:rPr>
          <w:rFonts w:ascii="Arial" w:hAnsi="Arial" w:cs="Arial"/>
          <w:sz w:val="26"/>
          <w:lang w:val="bg-BG"/>
        </w:rPr>
      </w:pPr>
      <w:r w:rsidRPr="006906E7">
        <w:rPr>
          <w:rFonts w:ascii="Arial" w:hAnsi="Arial" w:cs="Arial" w:hint="eastAsia"/>
          <w:sz w:val="26"/>
          <w:lang w:val="bg-BG"/>
        </w:rPr>
        <w:t>Приема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Доклада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за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състоянието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на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отбраната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и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въоръжените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сили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на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Република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България</w:t>
      </w:r>
      <w:r w:rsidRPr="006906E7">
        <w:rPr>
          <w:rFonts w:ascii="Arial" w:hAnsi="Arial" w:cs="Arial"/>
          <w:sz w:val="26"/>
          <w:lang w:val="bg-BG"/>
        </w:rPr>
        <w:t xml:space="preserve"> </w:t>
      </w:r>
      <w:r w:rsidRPr="006906E7">
        <w:rPr>
          <w:rFonts w:ascii="Arial" w:hAnsi="Arial" w:cs="Arial" w:hint="eastAsia"/>
          <w:sz w:val="26"/>
          <w:lang w:val="bg-BG"/>
        </w:rPr>
        <w:t>за</w:t>
      </w:r>
      <w:r w:rsidRPr="006906E7">
        <w:rPr>
          <w:rFonts w:ascii="Arial" w:hAnsi="Arial" w:cs="Arial"/>
          <w:sz w:val="26"/>
          <w:lang w:val="bg-BG"/>
        </w:rPr>
        <w:t xml:space="preserve"> 2025 </w:t>
      </w:r>
      <w:r w:rsidRPr="006906E7">
        <w:rPr>
          <w:rFonts w:ascii="Arial" w:hAnsi="Arial" w:cs="Arial" w:hint="eastAsia"/>
          <w:sz w:val="26"/>
          <w:lang w:val="bg-BG"/>
        </w:rPr>
        <w:t>г</w:t>
      </w:r>
      <w:r w:rsidRPr="006906E7">
        <w:rPr>
          <w:rFonts w:ascii="Arial" w:hAnsi="Arial" w:cs="Arial"/>
          <w:sz w:val="26"/>
          <w:lang w:val="bg-BG"/>
        </w:rPr>
        <w:t>.</w:t>
      </w:r>
    </w:p>
    <w:p w14:paraId="440ED888" w14:textId="77777777" w:rsidR="00430CF2" w:rsidRPr="00DD2287" w:rsidRDefault="00430CF2" w:rsidP="00DD2287">
      <w:pPr>
        <w:spacing w:before="120" w:line="288" w:lineRule="auto"/>
        <w:ind w:firstLine="1134"/>
        <w:jc w:val="both"/>
        <w:rPr>
          <w:rFonts w:ascii="Arial" w:hAnsi="Arial" w:cs="Arial"/>
          <w:sz w:val="26"/>
          <w:lang w:val="bg-BG"/>
        </w:rPr>
      </w:pPr>
    </w:p>
    <w:p w14:paraId="0895A3D0" w14:textId="77777777" w:rsidR="00430CF2" w:rsidRPr="00AE6990" w:rsidRDefault="00430CF2" w:rsidP="00DD228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2287">
        <w:rPr>
          <w:rFonts w:ascii="Arial" w:hAnsi="Arial"/>
          <w:sz w:val="26"/>
          <w:szCs w:val="26"/>
          <w:lang w:val="bg-BG"/>
        </w:rPr>
        <w:t xml:space="preserve">Решението е прието от </w:t>
      </w:r>
      <w:r w:rsidR="007E2315" w:rsidRPr="00DD2287">
        <w:rPr>
          <w:rFonts w:ascii="Arial" w:hAnsi="Arial"/>
          <w:sz w:val="26"/>
          <w:szCs w:val="26"/>
          <w:lang w:val="bg-BG"/>
        </w:rPr>
        <w:t>5</w:t>
      </w:r>
      <w:r w:rsidR="00532607" w:rsidRPr="00DD2287">
        <w:rPr>
          <w:rFonts w:ascii="Arial" w:hAnsi="Arial"/>
          <w:sz w:val="26"/>
          <w:szCs w:val="26"/>
          <w:lang w:val="bg-BG"/>
        </w:rPr>
        <w:t>1</w:t>
      </w:r>
      <w:r w:rsidR="00F236DF" w:rsidRPr="00DD2287">
        <w:rPr>
          <w:rFonts w:ascii="Arial" w:hAnsi="Arial"/>
          <w:sz w:val="26"/>
          <w:szCs w:val="26"/>
          <w:lang w:val="bg-BG"/>
        </w:rPr>
        <w:t>-ото</w:t>
      </w:r>
      <w:r w:rsidRPr="00DD2287">
        <w:rPr>
          <w:rFonts w:ascii="Arial" w:hAnsi="Arial"/>
          <w:sz w:val="26"/>
          <w:szCs w:val="26"/>
          <w:lang w:val="bg-BG"/>
        </w:rPr>
        <w:t xml:space="preserve"> Нар</w:t>
      </w:r>
      <w:r w:rsidR="003E56B0" w:rsidRPr="00DD2287">
        <w:rPr>
          <w:rFonts w:ascii="Arial" w:hAnsi="Arial"/>
          <w:sz w:val="26"/>
          <w:szCs w:val="26"/>
          <w:lang w:val="bg-BG"/>
        </w:rPr>
        <w:t>одно събрание на ……</w:t>
      </w:r>
      <w:r w:rsidR="005158E6" w:rsidRPr="00DD2287">
        <w:rPr>
          <w:rFonts w:ascii="Arial" w:hAnsi="Arial"/>
          <w:sz w:val="26"/>
          <w:szCs w:val="26"/>
          <w:lang w:val="bg-BG"/>
        </w:rPr>
        <w:t>………. 20</w:t>
      </w:r>
      <w:r w:rsidR="0090658B" w:rsidRPr="00DD2287">
        <w:rPr>
          <w:rFonts w:ascii="Arial" w:hAnsi="Arial"/>
          <w:sz w:val="26"/>
          <w:szCs w:val="26"/>
          <w:lang w:val="bg-BG"/>
        </w:rPr>
        <w:t>2</w:t>
      </w:r>
      <w:r w:rsidR="00F725A8">
        <w:rPr>
          <w:rFonts w:ascii="Arial" w:hAnsi="Arial"/>
          <w:sz w:val="26"/>
          <w:szCs w:val="26"/>
          <w:lang w:val="en-US"/>
        </w:rPr>
        <w:t>6</w:t>
      </w:r>
      <w:r w:rsidRPr="00DD2287">
        <w:rPr>
          <w:rFonts w:ascii="Arial" w:hAnsi="Arial"/>
          <w:sz w:val="26"/>
          <w:szCs w:val="26"/>
          <w:lang w:val="bg-BG"/>
        </w:rPr>
        <w:t xml:space="preserve"> г. и е подпечатано с официалния печат на Народното събрание.</w:t>
      </w:r>
    </w:p>
    <w:p w14:paraId="6FBA2432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530B96DC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EA76A22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79F8FFC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3F63BDA5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06F2999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ПРЕДСЕДАТЕЛ</w:t>
      </w:r>
      <w:r w:rsidR="00430CF2" w:rsidRPr="005B4B37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</w:p>
    <w:p w14:paraId="739BB76F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НАРОДНОТО</w:t>
      </w:r>
      <w:r w:rsidR="00430CF2" w:rsidRPr="005B4B37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СЪБРАНИЕ</w:t>
      </w:r>
      <w:r w:rsidR="00430CF2" w:rsidRPr="005B4B37">
        <w:rPr>
          <w:rFonts w:ascii="Times New Roman" w:hAnsi="Times New Roman"/>
          <w:b/>
          <w:sz w:val="26"/>
          <w:lang w:val="bg-BG"/>
        </w:rPr>
        <w:t>:</w:t>
      </w:r>
    </w:p>
    <w:p w14:paraId="37D90A0C" w14:textId="77777777" w:rsidR="00430CF2" w:rsidRPr="005B4B3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C63376B" w14:textId="2F088660" w:rsidR="00817842" w:rsidRPr="005B4B37" w:rsidRDefault="00992932" w:rsidP="006906E7">
      <w:pPr>
        <w:ind w:firstLine="4536"/>
        <w:jc w:val="both"/>
        <w:rPr>
          <w:rFonts w:ascii="Times New Roman" w:hAnsi="Times New Roman"/>
          <w:b/>
          <w:bCs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2551BB2C" w14:textId="77777777" w:rsidR="00430CF2" w:rsidRPr="00DD2287" w:rsidRDefault="00430CF2" w:rsidP="00DD2287">
      <w:pPr>
        <w:ind w:firstLine="1134"/>
        <w:rPr>
          <w:rFonts w:ascii="Times New Roman" w:hAnsi="Times New Roman"/>
          <w:sz w:val="26"/>
          <w:lang w:val="bg-BG"/>
        </w:rPr>
      </w:pPr>
    </w:p>
    <w:p w14:paraId="4B863C68" w14:textId="77777777" w:rsidR="00430CF2" w:rsidRPr="005B4B37" w:rsidRDefault="00430CF2" w:rsidP="00DD228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7C84F2C" w14:textId="77777777" w:rsidR="00430CF2" w:rsidRPr="005B4B37" w:rsidRDefault="00430CF2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430CF2" w:rsidRPr="005B4B37" w:rsidSect="00B44987">
          <w:pgSz w:w="11907" w:h="16840" w:code="9"/>
          <w:pgMar w:top="1134" w:right="1463" w:bottom="1418" w:left="1469" w:header="1021" w:footer="709" w:gutter="0"/>
          <w:pgNumType w:start="1"/>
          <w:cols w:space="708"/>
          <w:noEndnote/>
          <w:titlePg/>
        </w:sectPr>
      </w:pPr>
    </w:p>
    <w:p w14:paraId="5A9252AE" w14:textId="77777777" w:rsidR="007B092E" w:rsidRPr="007B092E" w:rsidRDefault="007B092E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3A7AB541" w14:textId="77777777" w:rsidR="00430CF2" w:rsidRPr="007B092E" w:rsidRDefault="005B4B37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B092E">
        <w:rPr>
          <w:rFonts w:ascii="Times New Roman" w:hAnsi="Times New Roman"/>
          <w:b/>
          <w:sz w:val="32"/>
          <w:szCs w:val="32"/>
          <w:lang w:val="bg-BG"/>
        </w:rPr>
        <w:t>М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О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Т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В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10884280" w14:textId="77777777" w:rsidR="00430CF2" w:rsidRPr="007B092E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566BF1B4" w14:textId="3C35009D" w:rsidR="00430CF2" w:rsidRPr="007B092E" w:rsidRDefault="005B4B37" w:rsidP="007B092E">
      <w:pPr>
        <w:spacing w:before="120" w:line="288" w:lineRule="auto"/>
        <w:jc w:val="center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B092E">
        <w:rPr>
          <w:rFonts w:ascii="Arial" w:hAnsi="Arial" w:cs="Arial"/>
          <w:b/>
          <w:smallCaps/>
          <w:sz w:val="26"/>
          <w:szCs w:val="26"/>
          <w:lang w:val="bg-BG"/>
        </w:rPr>
        <w:t>към</w:t>
      </w:r>
      <w:r w:rsidR="00430CF2" w:rsidRPr="007B092E">
        <w:rPr>
          <w:rFonts w:ascii="Arial" w:hAnsi="Arial" w:cs="Arial"/>
          <w:b/>
          <w:smallCaps/>
          <w:sz w:val="26"/>
          <w:szCs w:val="26"/>
          <w:lang w:val="bg-BG"/>
        </w:rPr>
        <w:t xml:space="preserve"> проекта на Решение на Народното събрание за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приемане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Доклада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състоянието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отбраната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въоръжените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сили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Република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България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D2255">
        <w:rPr>
          <w:rFonts w:ascii="Arial" w:hAnsi="Arial" w:cs="Arial" w:hint="eastAsia"/>
          <w:b/>
          <w:smallCaps/>
          <w:sz w:val="26"/>
          <w:szCs w:val="26"/>
          <w:lang w:val="en-US"/>
        </w:rPr>
        <w:t>з</w:t>
      </w:r>
      <w:r w:rsidR="00DD2255">
        <w:rPr>
          <w:rFonts w:ascii="Arial" w:hAnsi="Arial" w:cs="Arial"/>
          <w:b/>
          <w:smallCaps/>
          <w:sz w:val="26"/>
          <w:szCs w:val="26"/>
          <w:lang w:val="bg-BG"/>
        </w:rPr>
        <w:t>а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2401A4" w:rsidRPr="002401A4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2401A4" w:rsidRPr="002401A4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062471FE" w14:textId="77777777" w:rsidR="00430CF2" w:rsidRDefault="00430CF2" w:rsidP="007B092E">
      <w:pPr>
        <w:jc w:val="center"/>
        <w:rPr>
          <w:rFonts w:ascii="Arial" w:hAnsi="Arial" w:cs="Arial"/>
          <w:sz w:val="26"/>
          <w:szCs w:val="26"/>
          <w:lang w:val="en-US"/>
        </w:rPr>
      </w:pPr>
    </w:p>
    <w:p w14:paraId="153F9FA7" w14:textId="77777777" w:rsidR="002401A4" w:rsidRPr="002401A4" w:rsidRDefault="002401A4" w:rsidP="007B092E">
      <w:pPr>
        <w:jc w:val="center"/>
        <w:rPr>
          <w:rFonts w:ascii="Arial" w:hAnsi="Arial" w:cs="Arial"/>
          <w:sz w:val="26"/>
          <w:szCs w:val="26"/>
          <w:lang w:val="en-US"/>
        </w:rPr>
      </w:pPr>
    </w:p>
    <w:p w14:paraId="29F65360" w14:textId="4550E7AA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Докладът за състоянието на отбраната и Въоръжените сили на Република България за 2025 г. е разработен съгласно чл. 23 от Закона за отбраната и </w:t>
      </w:r>
      <w:r w:rsidR="00EE2341">
        <w:rPr>
          <w:rFonts w:ascii="Arial" w:hAnsi="Arial"/>
          <w:sz w:val="26"/>
          <w:szCs w:val="26"/>
          <w:lang w:val="bg-BG"/>
        </w:rPr>
        <w:t>в</w:t>
      </w:r>
      <w:r w:rsidRPr="002401A4">
        <w:rPr>
          <w:rFonts w:ascii="Arial" w:hAnsi="Arial"/>
          <w:sz w:val="26"/>
          <w:szCs w:val="26"/>
          <w:lang w:val="bg-BG"/>
        </w:rPr>
        <w:t>ъоръжените сили на Република България. Документът представя пред Народното събрание и обществото оценка за състоянието на българските въоръжени сили и постигнатите през годината резултати в сферата на отбраната. На базата на направените изводи докладът очертава и основни направления за работа през 2026</w:t>
      </w:r>
      <w:r w:rsidR="00DF5D11">
        <w:rPr>
          <w:rFonts w:ascii="Arial" w:hAnsi="Arial"/>
          <w:sz w:val="26"/>
          <w:szCs w:val="26"/>
          <w:lang w:val="bg-BG"/>
        </w:rPr>
        <w:t xml:space="preserve"> г.</w:t>
      </w:r>
      <w:r w:rsidRPr="002401A4">
        <w:rPr>
          <w:rFonts w:ascii="Arial" w:hAnsi="Arial"/>
          <w:sz w:val="26"/>
          <w:szCs w:val="26"/>
          <w:lang w:val="bg-BG"/>
        </w:rPr>
        <w:t xml:space="preserve"> и в средносрочен план, в които МО ще фокусира своите усилия за провеждане на ефективна отбранителна политика.</w:t>
      </w:r>
    </w:p>
    <w:p w14:paraId="69E94537" w14:textId="77777777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През изтеклата година отбранителната политика се осъществяваше в съответствие с Конституцията на Република България, законите и стратегическите документи на сигурността и отбраната. Продължи изпълнението на Програмата за развитие на отбранителните способности на Въоръжените сили на Република  България до 2032 г. и на Плана за развитие на Въоръжените сили на Република  България до 2026 г.</w:t>
      </w:r>
    </w:p>
    <w:p w14:paraId="351149CA" w14:textId="012AB8BD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Осигурена беше приемственост в целите и приоритетите на отбранителната политика и приносът на страната в рамките на колективната отбрана на НАТО и Общата политика за сигурност и отбрана на Е</w:t>
      </w:r>
      <w:r w:rsidR="00DF5D11">
        <w:rPr>
          <w:rFonts w:ascii="Arial" w:hAnsi="Arial"/>
          <w:sz w:val="26"/>
          <w:szCs w:val="26"/>
          <w:lang w:val="bg-BG"/>
        </w:rPr>
        <w:t>вропейския съюз</w:t>
      </w:r>
      <w:r w:rsidRPr="002401A4">
        <w:rPr>
          <w:rFonts w:ascii="Arial" w:hAnsi="Arial"/>
          <w:sz w:val="26"/>
          <w:szCs w:val="26"/>
          <w:lang w:val="bg-BG"/>
        </w:rPr>
        <w:t>.</w:t>
      </w:r>
    </w:p>
    <w:p w14:paraId="7348990E" w14:textId="7B875B28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Във фокуса на усилията бяха подобряване изпълнението на мисиите и задачите на Въоръжените сили</w:t>
      </w:r>
      <w:r w:rsidR="00DF5D11">
        <w:rPr>
          <w:rFonts w:ascii="Arial" w:hAnsi="Arial"/>
          <w:sz w:val="26"/>
          <w:szCs w:val="26"/>
          <w:lang w:val="bg-BG"/>
        </w:rPr>
        <w:t>,</w:t>
      </w:r>
      <w:r w:rsidRPr="002401A4">
        <w:rPr>
          <w:rFonts w:ascii="Arial" w:hAnsi="Arial"/>
          <w:sz w:val="26"/>
          <w:szCs w:val="26"/>
          <w:lang w:val="bg-BG"/>
        </w:rPr>
        <w:t xml:space="preserve"> ускоряване изграждането и поддържането на необходимите отбранителни способности и попълване на дефицитите</w:t>
      </w:r>
      <w:r w:rsidR="00DF5D11">
        <w:rPr>
          <w:rFonts w:ascii="Arial" w:hAnsi="Arial"/>
          <w:sz w:val="26"/>
          <w:szCs w:val="26"/>
          <w:lang w:val="bg-BG"/>
        </w:rPr>
        <w:t>,</w:t>
      </w:r>
      <w:r w:rsidRPr="002401A4">
        <w:rPr>
          <w:rFonts w:ascii="Arial" w:hAnsi="Arial"/>
          <w:sz w:val="26"/>
          <w:szCs w:val="26"/>
          <w:lang w:val="bg-BG"/>
        </w:rPr>
        <w:t xml:space="preserve"> превъоръжаване и модернизация</w:t>
      </w:r>
      <w:r w:rsidR="00DF5D11">
        <w:rPr>
          <w:rFonts w:ascii="Arial" w:hAnsi="Arial"/>
          <w:sz w:val="26"/>
          <w:szCs w:val="26"/>
          <w:lang w:val="bg-BG"/>
        </w:rPr>
        <w:t>,</w:t>
      </w:r>
      <w:r w:rsidRPr="002401A4">
        <w:rPr>
          <w:rFonts w:ascii="Arial" w:hAnsi="Arial"/>
          <w:sz w:val="26"/>
          <w:szCs w:val="26"/>
          <w:lang w:val="bg-BG"/>
        </w:rPr>
        <w:t xml:space="preserve"> попълване на вакантните длъжности, окомплектоване и подготовка на доброволния резерв</w:t>
      </w:r>
      <w:r w:rsidR="00DF5D11">
        <w:rPr>
          <w:rFonts w:ascii="Arial" w:hAnsi="Arial"/>
          <w:sz w:val="26"/>
          <w:szCs w:val="26"/>
          <w:lang w:val="bg-BG"/>
        </w:rPr>
        <w:t>,</w:t>
      </w:r>
      <w:r w:rsidRPr="002401A4">
        <w:rPr>
          <w:rFonts w:ascii="Arial" w:hAnsi="Arial"/>
          <w:sz w:val="26"/>
          <w:szCs w:val="26"/>
          <w:lang w:val="bg-BG"/>
        </w:rPr>
        <w:t xml:space="preserve"> изпълнение на Целите на способностите на НАТО</w:t>
      </w:r>
      <w:r w:rsidR="00DF5D11">
        <w:rPr>
          <w:rFonts w:ascii="Arial" w:hAnsi="Arial"/>
          <w:sz w:val="26"/>
          <w:szCs w:val="26"/>
          <w:lang w:val="bg-BG"/>
        </w:rPr>
        <w:t>,</w:t>
      </w:r>
      <w:r w:rsidRPr="002401A4">
        <w:rPr>
          <w:rFonts w:ascii="Arial" w:hAnsi="Arial"/>
          <w:sz w:val="26"/>
          <w:szCs w:val="26"/>
          <w:lang w:val="bg-BG"/>
        </w:rPr>
        <w:t xml:space="preserve"> изграждане на способности и активни стратегически комуникации с обществото.</w:t>
      </w:r>
    </w:p>
    <w:p w14:paraId="4324A3A6" w14:textId="10FF90A7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Българските въоръжени сили имат необходимата степен на готовност за реагиране при кризи от военен характер. Подготовката </w:t>
      </w:r>
      <w:r w:rsidRPr="002401A4">
        <w:rPr>
          <w:rFonts w:ascii="Arial" w:hAnsi="Arial"/>
          <w:sz w:val="26"/>
          <w:szCs w:val="26"/>
          <w:lang w:val="bg-BG"/>
        </w:rPr>
        <w:lastRenderedPageBreak/>
        <w:t>допринася за съхранение на способностите на Въоръжените сили за изпълнение на задачите им по трите мисии, като е налице ръст в нейния интензитет и обхват. Провеждането на ученията в настоящия им вид, участието в съюзни учения в чужбина, както и осигуряването на поддръжка от страната</w:t>
      </w:r>
      <w:r w:rsidR="00DF5D11">
        <w:rPr>
          <w:rFonts w:ascii="Arial" w:hAnsi="Arial"/>
          <w:sz w:val="26"/>
          <w:szCs w:val="26"/>
          <w:lang w:val="bg-BG"/>
        </w:rPr>
        <w:t xml:space="preserve"> </w:t>
      </w:r>
      <w:r w:rsidRPr="002401A4">
        <w:rPr>
          <w:rFonts w:ascii="Arial" w:hAnsi="Arial"/>
          <w:sz w:val="26"/>
          <w:szCs w:val="26"/>
          <w:lang w:val="bg-BG"/>
        </w:rPr>
        <w:t>домакин за съюзни сили на наша територия постигат заложените цели, допринасят за цялостното повишаване подготовката на Въоръжените сили и спомагат за утвърждаване на ролята на България като надежден съюзник в Алианса.</w:t>
      </w:r>
    </w:p>
    <w:p w14:paraId="6FA6F0FE" w14:textId="3C747231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В условията на коренно променена стратегическа среда на сигурност през третата година на войната на Руската федерация срещу Украйна България продължи активното си участие в укрепването на възпиращия и отбранителния потенциал на НАТО в Черно море. Изграждането на многонационалната бойна група на Алианса у нас остана в центъра на усилията ни. Продължават и дейностите по изграждането на щаб на многонационална дивизия на НАТО в България.</w:t>
      </w:r>
    </w:p>
    <w:p w14:paraId="72782A5F" w14:textId="5A4D8D41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България остана солидарна с Украйна и подкрепя нейните легитимни усилия да се противопостави на руската военна агресия. В изпълнение на решенията на Народното събрание продължи изпращането на помощ, като нейният обем и обхват бяха разширени.</w:t>
      </w:r>
    </w:p>
    <w:p w14:paraId="06FE6026" w14:textId="4BCCADCF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Продължи процесът на превъоръжаване и модернизация. Народното събрание прие Програма за инвестиции в отбраната до </w:t>
      </w:r>
      <w:r w:rsidR="006C7200">
        <w:rPr>
          <w:rFonts w:ascii="Arial" w:hAnsi="Arial"/>
          <w:sz w:val="26"/>
          <w:szCs w:val="26"/>
          <w:lang w:val="bg-BG"/>
        </w:rPr>
        <w:br/>
      </w:r>
      <w:r w:rsidRPr="002401A4">
        <w:rPr>
          <w:rFonts w:ascii="Arial" w:hAnsi="Arial"/>
          <w:sz w:val="26"/>
          <w:szCs w:val="26"/>
          <w:lang w:val="bg-BG"/>
        </w:rPr>
        <w:t>2032 г., съдържаща приоритетните проекти и финансова рамка. За изпълнението на тази Програма ще бъде изготвен и представен отделен доклад, чрез който Министерството на отбраната ще информира парламента и обществото за резултатите от нейното изпълнение през годината. В настоящия доклад е отчетена ролята на приоритетните инвестиционни проекти за придобиване на бойни машини за Сухопътните войски, на самолети F-16 и на многофункционални модулни патрулни кораби. Стартира проект за придобиване на система за противовъздушна отбрана със среден обсег IRIS-T в рамките на инициативата на Германия „Щит на европейското небе“.</w:t>
      </w:r>
    </w:p>
    <w:p w14:paraId="67BB38FD" w14:textId="6EEE70B2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Въпреки предприетите мерки </w:t>
      </w:r>
      <w:proofErr w:type="spellStart"/>
      <w:r w:rsidRPr="002401A4">
        <w:rPr>
          <w:rFonts w:ascii="Arial" w:hAnsi="Arial"/>
          <w:sz w:val="26"/>
          <w:szCs w:val="26"/>
          <w:lang w:val="bg-BG"/>
        </w:rPr>
        <w:t>некомплектът</w:t>
      </w:r>
      <w:proofErr w:type="spellEnd"/>
      <w:r w:rsidRPr="002401A4">
        <w:rPr>
          <w:rFonts w:ascii="Arial" w:hAnsi="Arial"/>
          <w:sz w:val="26"/>
          <w:szCs w:val="26"/>
          <w:lang w:val="bg-BG"/>
        </w:rPr>
        <w:t xml:space="preserve"> от военнослужещи остава висок и в края на годината достигна 20,1 %. Доброволния</w:t>
      </w:r>
      <w:r w:rsidR="003A0EA7">
        <w:rPr>
          <w:rFonts w:ascii="Arial" w:hAnsi="Arial"/>
          <w:sz w:val="26"/>
          <w:szCs w:val="26"/>
          <w:lang w:val="bg-BG"/>
        </w:rPr>
        <w:t>т</w:t>
      </w:r>
      <w:r w:rsidRPr="002401A4">
        <w:rPr>
          <w:rFonts w:ascii="Arial" w:hAnsi="Arial"/>
          <w:sz w:val="26"/>
          <w:szCs w:val="26"/>
          <w:lang w:val="bg-BG"/>
        </w:rPr>
        <w:t xml:space="preserve"> резерв също е попълнен едва на 18,6 %. Продължиха усилията за реализирането на редица мерки за попълване на големия брой незаети длъжности за военнослужещи. Направени бяха законови промени за удължаване на пределната възраст за военна служба с две години, което е стратегически </w:t>
      </w:r>
      <w:r w:rsidRPr="002401A4">
        <w:rPr>
          <w:rFonts w:ascii="Arial" w:hAnsi="Arial"/>
          <w:sz w:val="26"/>
          <w:szCs w:val="26"/>
          <w:lang w:val="bg-BG"/>
        </w:rPr>
        <w:lastRenderedPageBreak/>
        <w:t>обоснована мярка, която ще допринесе за повишаване на кадровата устойчивост, ефективност и боеспособност на въоръжените сили.</w:t>
      </w:r>
    </w:p>
    <w:p w14:paraId="1486420A" w14:textId="5E5C79A1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За 2025 г. отчетените разходи  за  отбрана са в размер </w:t>
      </w:r>
      <w:r w:rsidR="006C7200">
        <w:rPr>
          <w:rFonts w:ascii="Arial" w:hAnsi="Arial"/>
          <w:sz w:val="26"/>
          <w:szCs w:val="26"/>
          <w:lang w:val="bg-BG"/>
        </w:rPr>
        <w:br/>
      </w:r>
      <w:r w:rsidRPr="002401A4">
        <w:rPr>
          <w:rFonts w:ascii="Arial" w:hAnsi="Arial"/>
          <w:sz w:val="26"/>
          <w:szCs w:val="26"/>
          <w:lang w:val="bg-BG"/>
        </w:rPr>
        <w:t xml:space="preserve">4 838,4 млн. лв., или 2,13 % от БВП. Новите геостратегически реалности и динамичната среда на сигурност наложиха необходимостта от повишаване на разходите за отбраната, като страните от НАТО се ангажираха до 2035 г. те да достигнат 5% от БВП, разделени в две групи: 3,5 % от БВП за основни разходи за отбрана и 1,5 % от БВП за разходи, свързани с отбраната и сигурността – за гражданска готовност, устойчивост, борба с хибридни и </w:t>
      </w:r>
      <w:proofErr w:type="spellStart"/>
      <w:r w:rsidRPr="002401A4">
        <w:rPr>
          <w:rFonts w:ascii="Arial" w:hAnsi="Arial"/>
          <w:sz w:val="26"/>
          <w:szCs w:val="26"/>
          <w:lang w:val="bg-BG"/>
        </w:rPr>
        <w:t>кибер</w:t>
      </w:r>
      <w:proofErr w:type="spellEnd"/>
      <w:r w:rsidRPr="002401A4">
        <w:rPr>
          <w:rFonts w:ascii="Arial" w:hAnsi="Arial"/>
          <w:sz w:val="26"/>
          <w:szCs w:val="26"/>
          <w:lang w:val="bg-BG"/>
        </w:rPr>
        <w:t xml:space="preserve"> заплахи, отбранителна индустрия, инфраструктура за военната мобилност и др.</w:t>
      </w:r>
    </w:p>
    <w:p w14:paraId="7DA04455" w14:textId="77777777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Приетият пакет „Цели на способностите 2025“ на НАТО демонстрира политическа воля за осигуряване на колективната отбрана в отговор на новите заплахи за сигурността. Изискванията на новите Цели са много по-високи от тези на предишния пакет и всеки съюзник трябва да изгради значително повече способности за принос към колективната отбрана, което ще позволи на НАТО да отговори на нарасналите рискове и заплахи и да гарантира сигурността на своите членове.</w:t>
      </w:r>
    </w:p>
    <w:p w14:paraId="086A74C2" w14:textId="5D339AB9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 xml:space="preserve">В края </w:t>
      </w:r>
      <w:r w:rsidR="00A82CB5">
        <w:rPr>
          <w:rFonts w:ascii="Arial" w:hAnsi="Arial"/>
          <w:sz w:val="26"/>
          <w:szCs w:val="26"/>
          <w:lang w:val="bg-BG"/>
        </w:rPr>
        <w:t xml:space="preserve">на </w:t>
      </w:r>
      <w:r w:rsidRPr="002401A4">
        <w:rPr>
          <w:rFonts w:ascii="Arial" w:hAnsi="Arial"/>
          <w:sz w:val="26"/>
          <w:szCs w:val="26"/>
          <w:lang w:val="bg-BG"/>
        </w:rPr>
        <w:t>2025 г. стартира Преглед на структурата на въоръжените сили с цел нейното оптимизиране и осигуряване на по-ефективно изпълнение на мисиите и задачите в колективната отбрана на НАТО.</w:t>
      </w:r>
    </w:p>
    <w:p w14:paraId="770DDDF6" w14:textId="42410B51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Докладът прави следния основен извод:</w:t>
      </w:r>
    </w:p>
    <w:p w14:paraId="6A091C01" w14:textId="64C7F093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Съществуващите дефицити от способности във въоръжените сили не могат да се преодолеят с поддържане на разходи за отбрана в рамките на 2</w:t>
      </w:r>
      <w:r w:rsidR="00A82CB5">
        <w:rPr>
          <w:rFonts w:ascii="Arial" w:hAnsi="Arial"/>
          <w:sz w:val="26"/>
          <w:szCs w:val="26"/>
          <w:lang w:val="bg-BG"/>
        </w:rPr>
        <w:t xml:space="preserve"> </w:t>
      </w:r>
      <w:r w:rsidRPr="002401A4">
        <w:rPr>
          <w:rFonts w:ascii="Arial" w:hAnsi="Arial"/>
          <w:sz w:val="26"/>
          <w:szCs w:val="26"/>
          <w:lang w:val="bg-BG"/>
        </w:rPr>
        <w:t xml:space="preserve">% от БВП. Системното </w:t>
      </w:r>
      <w:proofErr w:type="spellStart"/>
      <w:r w:rsidRPr="002401A4">
        <w:rPr>
          <w:rFonts w:ascii="Arial" w:hAnsi="Arial"/>
          <w:sz w:val="26"/>
          <w:szCs w:val="26"/>
          <w:lang w:val="bg-BG"/>
        </w:rPr>
        <w:t>недофинансиране</w:t>
      </w:r>
      <w:proofErr w:type="spellEnd"/>
      <w:r w:rsidRPr="002401A4">
        <w:rPr>
          <w:rFonts w:ascii="Arial" w:hAnsi="Arial"/>
          <w:sz w:val="26"/>
          <w:szCs w:val="26"/>
          <w:lang w:val="bg-BG"/>
        </w:rPr>
        <w:t xml:space="preserve"> на въоръжените сили не позволява да се преодолее </w:t>
      </w:r>
      <w:proofErr w:type="spellStart"/>
      <w:r w:rsidRPr="002401A4">
        <w:rPr>
          <w:rFonts w:ascii="Arial" w:hAnsi="Arial"/>
          <w:sz w:val="26"/>
          <w:szCs w:val="26"/>
          <w:lang w:val="bg-BG"/>
        </w:rPr>
        <w:t>некомплектът</w:t>
      </w:r>
      <w:proofErr w:type="spellEnd"/>
      <w:r w:rsidRPr="002401A4">
        <w:rPr>
          <w:rFonts w:ascii="Arial" w:hAnsi="Arial"/>
          <w:sz w:val="26"/>
          <w:szCs w:val="26"/>
          <w:lang w:val="bg-BG"/>
        </w:rPr>
        <w:t xml:space="preserve"> от личен състав и да се ускор</w:t>
      </w:r>
      <w:r w:rsidR="00A82CB5">
        <w:rPr>
          <w:rFonts w:ascii="Arial" w:hAnsi="Arial"/>
          <w:sz w:val="26"/>
          <w:szCs w:val="26"/>
          <w:lang w:val="bg-BG"/>
        </w:rPr>
        <w:t>ят</w:t>
      </w:r>
      <w:r w:rsidRPr="002401A4">
        <w:rPr>
          <w:rFonts w:ascii="Arial" w:hAnsi="Arial"/>
          <w:sz w:val="26"/>
          <w:szCs w:val="26"/>
          <w:lang w:val="bg-BG"/>
        </w:rPr>
        <w:t xml:space="preserve"> модернизацията и превъоръжаването. Това води до ограничения при изпълнение на задачите, особено на тези по мисия „Възпиране и отбрана“.</w:t>
      </w:r>
    </w:p>
    <w:p w14:paraId="7A843318" w14:textId="656533C8" w:rsidR="002401A4" w:rsidRPr="002401A4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t>В средносрочен план и при положение че разходите за отбрана нарастват планомерно, това състояние ще се подобри значително с ускоряване на превъоръжаването, усвояването на новопридобитото модерно въоръжение и техника и очаквания положителния ефект от предприетите мерки за попълване на вакантните длъжности за военнослужещи.</w:t>
      </w:r>
    </w:p>
    <w:p w14:paraId="3F35CA75" w14:textId="74347834" w:rsidR="005334BE" w:rsidRPr="00CD5ABB" w:rsidRDefault="002401A4" w:rsidP="002401A4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01A4">
        <w:rPr>
          <w:rFonts w:ascii="Arial" w:hAnsi="Arial"/>
          <w:sz w:val="26"/>
          <w:szCs w:val="26"/>
          <w:lang w:val="bg-BG"/>
        </w:rPr>
        <w:lastRenderedPageBreak/>
        <w:t>При коренно променената стратегическа среда и нарастващи военни заплахи за сигурността отбраната следва да остане във фокуса на политиката за защита на националната сигурност със съответната ресурсна и политическа подкрепа на правителството, парламента и българското общество.</w:t>
      </w:r>
    </w:p>
    <w:p w14:paraId="0DA4B24A" w14:textId="77777777" w:rsidR="005334BE" w:rsidRPr="0080580B" w:rsidRDefault="005334BE" w:rsidP="007B092E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</w:p>
    <w:p w14:paraId="025874D0" w14:textId="77777777" w:rsidR="00104574" w:rsidRPr="0080580B" w:rsidRDefault="00104574" w:rsidP="007B092E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</w:p>
    <w:p w14:paraId="1685FE52" w14:textId="77777777" w:rsidR="00197183" w:rsidRPr="0080580B" w:rsidRDefault="00197183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</w:p>
    <w:p w14:paraId="2D7A5075" w14:textId="77777777" w:rsidR="00430CF2" w:rsidRPr="0080580B" w:rsidRDefault="00430CF2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86D599E" w14:textId="77777777" w:rsidR="00430CF2" w:rsidRPr="0080580B" w:rsidRDefault="00430CF2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613D652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>МИНИСТЪР</w:t>
      </w:r>
      <w:r w:rsidR="00430CF2" w:rsidRPr="005B4B37">
        <w:rPr>
          <w:rFonts w:ascii="Times New Roman" w:hAnsi="Times New Roman"/>
          <w:b/>
          <w:sz w:val="26"/>
          <w:lang w:val="ru-RU"/>
        </w:rPr>
        <w:t>-</w:t>
      </w:r>
      <w:r>
        <w:rPr>
          <w:rFonts w:ascii="Times New Roman" w:hAnsi="Times New Roman"/>
          <w:b/>
          <w:sz w:val="26"/>
          <w:lang w:val="ru-RU"/>
        </w:rPr>
        <w:t>ПРЕДСЕДАТЕЛ</w:t>
      </w:r>
      <w:r w:rsidR="00430CF2" w:rsidRPr="005B4B37">
        <w:rPr>
          <w:rFonts w:ascii="Times New Roman" w:hAnsi="Times New Roman"/>
          <w:b/>
          <w:sz w:val="26"/>
          <w:lang w:val="ru-RU"/>
        </w:rPr>
        <w:t>:</w:t>
      </w:r>
    </w:p>
    <w:p w14:paraId="6211CC0C" w14:textId="77777777" w:rsidR="00430CF2" w:rsidRPr="005B4B37" w:rsidRDefault="00430CF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5FCDD468" w14:textId="1CCD655E" w:rsidR="00430CF2" w:rsidRPr="00992932" w:rsidRDefault="00992932" w:rsidP="005D7BFD">
      <w:pPr>
        <w:ind w:firstLine="48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992932">
        <w:rPr>
          <w:rFonts w:ascii="Times New Roman" w:hAnsi="Times New Roman"/>
          <w:b/>
          <w:sz w:val="26"/>
          <w:szCs w:val="26"/>
          <w:lang w:val="bg-BG"/>
        </w:rPr>
        <w:t>АНДРЕЙ ГЮРОВ</w:t>
      </w:r>
    </w:p>
    <w:sectPr w:rsidR="00430CF2" w:rsidRPr="00992932" w:rsidSect="00FA6C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C3BA" w14:textId="77777777" w:rsidR="000C3F74" w:rsidRDefault="000C3F74">
      <w:r>
        <w:separator/>
      </w:r>
    </w:p>
  </w:endnote>
  <w:endnote w:type="continuationSeparator" w:id="0">
    <w:p w14:paraId="6D4A4CB0" w14:textId="77777777" w:rsidR="000C3F74" w:rsidRDefault="000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4DC8" w14:textId="77777777" w:rsidR="00FA6C35" w:rsidRDefault="00FA6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A5E9" w14:textId="642CBE73" w:rsidR="00E07636" w:rsidRDefault="00E07636">
    <w:pPr>
      <w:pStyle w:val="Footer"/>
      <w:rPr>
        <w:rFonts w:ascii="NewSaturionCyr" w:hAnsi="NewSaturionCyr"/>
        <w:sz w:val="14"/>
      </w:rPr>
    </w:pPr>
    <w:r w:rsidRPr="005D6F19">
      <w:rPr>
        <w:rFonts w:ascii="NewSaturionCyr" w:hAnsi="NewSaturionCyr"/>
        <w:sz w:val="14"/>
        <w:lang w:val="bg-BG"/>
      </w:rPr>
      <w:t>МБ-АС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  <w:lang w:val="bg-BG"/>
      </w:rPr>
      <w:fldChar w:fldCharType="begin"/>
    </w:r>
    <w:r>
      <w:rPr>
        <w:rFonts w:ascii="NewSaturionCyr" w:hAnsi="NewSaturionCyr"/>
        <w:sz w:val="14"/>
        <w:lang w:val="bg-BG"/>
      </w:rPr>
      <w:instrText xml:space="preserve"> FILENAME \* Upper \* MERGEFORMAT </w:instrText>
    </w:r>
    <w:r>
      <w:rPr>
        <w:rFonts w:ascii="NewSaturionCyr" w:hAnsi="NewSaturionCyr"/>
        <w:sz w:val="14"/>
        <w:lang w:val="bg-BG"/>
      </w:rPr>
      <w:fldChar w:fldCharType="separate"/>
    </w:r>
    <w:r w:rsidR="00914EDB" w:rsidRPr="00914EDB">
      <w:rPr>
        <w:rFonts w:ascii="NewSaturionCyr" w:hAnsi="NewSaturionCyr"/>
        <w:noProof/>
        <w:sz w:val="14"/>
      </w:rPr>
      <w:t>NA-DOKLAD_OTBRANA</w:t>
    </w:r>
    <w:r w:rsidR="00914EDB">
      <w:rPr>
        <w:rFonts w:ascii="NewSaturionCyr" w:hAnsi="NewSaturionCyr"/>
        <w:noProof/>
        <w:sz w:val="14"/>
        <w:lang w:val="bg-BG"/>
      </w:rPr>
      <w:t>.DOCX</w:t>
    </w:r>
    <w:r>
      <w:rPr>
        <w:rFonts w:ascii="NewSaturionCyr" w:hAnsi="NewSaturionCyr"/>
        <w:sz w:val="14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5685" w14:textId="77777777" w:rsidR="00FA6C35" w:rsidRDefault="00FA6C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827" w14:textId="77777777" w:rsidR="00E07636" w:rsidRDefault="00E0763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E1FD" w14:textId="12A40243" w:rsidR="00E07636" w:rsidRPr="00FA6C35" w:rsidRDefault="00E07636" w:rsidP="00FA6C3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95CE" w14:textId="08989FEC" w:rsidR="00E07636" w:rsidRPr="00DF5D11" w:rsidRDefault="00E07636" w:rsidP="00DF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2081" w14:textId="77777777" w:rsidR="000C3F74" w:rsidRDefault="000C3F74">
      <w:r>
        <w:separator/>
      </w:r>
    </w:p>
  </w:footnote>
  <w:footnote w:type="continuationSeparator" w:id="0">
    <w:p w14:paraId="1C1FFF84" w14:textId="77777777" w:rsidR="000C3F74" w:rsidRDefault="000C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97A9" w14:textId="77777777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30F48" w14:textId="77777777" w:rsidR="00E07636" w:rsidRDefault="00E07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18E0" w14:textId="77777777" w:rsidR="00E07636" w:rsidRPr="009C6C4E" w:rsidRDefault="00E07636">
    <w:pPr>
      <w:pStyle w:val="Header"/>
      <w:framePr w:wrap="auto" w:vAnchor="text" w:hAnchor="margin" w:xAlign="center" w:y="1"/>
      <w:rPr>
        <w:rStyle w:val="PageNumber"/>
        <w:rFonts w:ascii="NewSaturionCyr" w:hAnsi="NewSaturionCyr"/>
      </w:rPr>
    </w:pPr>
    <w:r w:rsidRPr="009C6C4E">
      <w:rPr>
        <w:rStyle w:val="PageNumber"/>
        <w:rFonts w:ascii="NewSaturionCyr" w:hAnsi="NewSaturionCyr"/>
      </w:rPr>
      <w:fldChar w:fldCharType="begin"/>
    </w:r>
    <w:r w:rsidRPr="009C6C4E">
      <w:rPr>
        <w:rStyle w:val="PageNumber"/>
        <w:rFonts w:ascii="NewSaturionCyr" w:hAnsi="NewSaturionCyr"/>
      </w:rPr>
      <w:instrText xml:space="preserve">PAGE  </w:instrText>
    </w:r>
    <w:r w:rsidRPr="009C6C4E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9C6C4E">
      <w:rPr>
        <w:rStyle w:val="PageNumber"/>
        <w:rFonts w:ascii="NewSaturionCyr" w:hAnsi="NewSaturionCyr"/>
      </w:rPr>
      <w:fldChar w:fldCharType="end"/>
    </w:r>
  </w:p>
  <w:p w14:paraId="7B5422E9" w14:textId="77777777" w:rsidR="00E07636" w:rsidRPr="007A7E5B" w:rsidRDefault="00E07636">
    <w:pPr>
      <w:pStyle w:val="Header"/>
      <w:rPr>
        <w:rFonts w:ascii="Arial" w:hAnsi="Arial" w:cs="Arial"/>
      </w:rPr>
    </w:pPr>
  </w:p>
  <w:p w14:paraId="65CC472B" w14:textId="77777777" w:rsidR="00E07636" w:rsidRPr="007A7E5B" w:rsidRDefault="00E07636">
    <w:pPr>
      <w:pStyle w:val="Header"/>
      <w:rPr>
        <w:rFonts w:ascii="Arial" w:hAnsi="Arial" w:cs="Arial"/>
      </w:rPr>
    </w:pPr>
  </w:p>
  <w:p w14:paraId="68D326A4" w14:textId="77777777" w:rsidR="00E07636" w:rsidRPr="007A7E5B" w:rsidRDefault="00E0763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558F" w14:textId="77777777" w:rsidR="00FA6C35" w:rsidRDefault="00FA6C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B5D2" w14:textId="63CB0ECA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9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C7033F" w14:textId="77777777" w:rsidR="00E07636" w:rsidRDefault="00E076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DF6" w14:textId="77777777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B02F856" w14:textId="77777777" w:rsidR="00E07636" w:rsidRDefault="00E0763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B1CD" w14:textId="77777777" w:rsidR="00E07636" w:rsidRPr="00992932" w:rsidRDefault="00E07636" w:rsidP="00992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277930">
    <w:abstractNumId w:val="0"/>
  </w:num>
  <w:num w:numId="2" w16cid:durableId="160114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5030B"/>
    <w:rsid w:val="0006726F"/>
    <w:rsid w:val="00070BDB"/>
    <w:rsid w:val="00073554"/>
    <w:rsid w:val="00073AED"/>
    <w:rsid w:val="000805F3"/>
    <w:rsid w:val="00086396"/>
    <w:rsid w:val="000A35C1"/>
    <w:rsid w:val="000B00E2"/>
    <w:rsid w:val="000B7C33"/>
    <w:rsid w:val="000C3F74"/>
    <w:rsid w:val="000C4508"/>
    <w:rsid w:val="000C71D6"/>
    <w:rsid w:val="000D5A14"/>
    <w:rsid w:val="000D614F"/>
    <w:rsid w:val="000E0053"/>
    <w:rsid w:val="000E7514"/>
    <w:rsid w:val="000E7FA2"/>
    <w:rsid w:val="000F0A09"/>
    <w:rsid w:val="000F4CA3"/>
    <w:rsid w:val="00102524"/>
    <w:rsid w:val="00102D66"/>
    <w:rsid w:val="00103620"/>
    <w:rsid w:val="00104574"/>
    <w:rsid w:val="00113650"/>
    <w:rsid w:val="00120B70"/>
    <w:rsid w:val="0012368C"/>
    <w:rsid w:val="00124EB7"/>
    <w:rsid w:val="00131C21"/>
    <w:rsid w:val="00134347"/>
    <w:rsid w:val="001410D7"/>
    <w:rsid w:val="001449EB"/>
    <w:rsid w:val="001562B9"/>
    <w:rsid w:val="00166276"/>
    <w:rsid w:val="00185295"/>
    <w:rsid w:val="00197183"/>
    <w:rsid w:val="001D6D1E"/>
    <w:rsid w:val="001E1E9F"/>
    <w:rsid w:val="002006FA"/>
    <w:rsid w:val="0020518C"/>
    <w:rsid w:val="00207071"/>
    <w:rsid w:val="0021255C"/>
    <w:rsid w:val="002249F4"/>
    <w:rsid w:val="00227145"/>
    <w:rsid w:val="00231517"/>
    <w:rsid w:val="00237F14"/>
    <w:rsid w:val="002401A4"/>
    <w:rsid w:val="0026066D"/>
    <w:rsid w:val="002646F4"/>
    <w:rsid w:val="00266D96"/>
    <w:rsid w:val="00294FA4"/>
    <w:rsid w:val="002A59B4"/>
    <w:rsid w:val="002A661A"/>
    <w:rsid w:val="002F2A68"/>
    <w:rsid w:val="002F6D6C"/>
    <w:rsid w:val="00316ADC"/>
    <w:rsid w:val="00334347"/>
    <w:rsid w:val="00340A7B"/>
    <w:rsid w:val="00356DA3"/>
    <w:rsid w:val="00356E98"/>
    <w:rsid w:val="003605CC"/>
    <w:rsid w:val="003626E0"/>
    <w:rsid w:val="00363EEF"/>
    <w:rsid w:val="003A0EA7"/>
    <w:rsid w:val="003D53D0"/>
    <w:rsid w:val="003E2647"/>
    <w:rsid w:val="003E4430"/>
    <w:rsid w:val="003E56B0"/>
    <w:rsid w:val="003E639F"/>
    <w:rsid w:val="003F4B85"/>
    <w:rsid w:val="003F7B9D"/>
    <w:rsid w:val="00413149"/>
    <w:rsid w:val="00416C24"/>
    <w:rsid w:val="00421311"/>
    <w:rsid w:val="00430CF2"/>
    <w:rsid w:val="00436091"/>
    <w:rsid w:val="004400D6"/>
    <w:rsid w:val="00450009"/>
    <w:rsid w:val="00462A1C"/>
    <w:rsid w:val="00481AAD"/>
    <w:rsid w:val="00491E2F"/>
    <w:rsid w:val="004A1A15"/>
    <w:rsid w:val="004A6CC7"/>
    <w:rsid w:val="004B4A97"/>
    <w:rsid w:val="004D1E02"/>
    <w:rsid w:val="004D349F"/>
    <w:rsid w:val="004F09B2"/>
    <w:rsid w:val="0051301B"/>
    <w:rsid w:val="005148C3"/>
    <w:rsid w:val="005158E6"/>
    <w:rsid w:val="00524F53"/>
    <w:rsid w:val="00526CFB"/>
    <w:rsid w:val="00530750"/>
    <w:rsid w:val="00531713"/>
    <w:rsid w:val="00532607"/>
    <w:rsid w:val="005334BE"/>
    <w:rsid w:val="00542C4A"/>
    <w:rsid w:val="005511D5"/>
    <w:rsid w:val="00554D78"/>
    <w:rsid w:val="0057355B"/>
    <w:rsid w:val="00575913"/>
    <w:rsid w:val="005823C3"/>
    <w:rsid w:val="005824E5"/>
    <w:rsid w:val="00591E50"/>
    <w:rsid w:val="005B4B37"/>
    <w:rsid w:val="005C34B3"/>
    <w:rsid w:val="005C69E4"/>
    <w:rsid w:val="005D6F19"/>
    <w:rsid w:val="005D7BFD"/>
    <w:rsid w:val="005E471A"/>
    <w:rsid w:val="005E7869"/>
    <w:rsid w:val="005F5E94"/>
    <w:rsid w:val="005F6257"/>
    <w:rsid w:val="00610801"/>
    <w:rsid w:val="00611C3E"/>
    <w:rsid w:val="0061232E"/>
    <w:rsid w:val="00625A74"/>
    <w:rsid w:val="00630061"/>
    <w:rsid w:val="00632B3A"/>
    <w:rsid w:val="0064730C"/>
    <w:rsid w:val="006645D6"/>
    <w:rsid w:val="0067765E"/>
    <w:rsid w:val="0068245F"/>
    <w:rsid w:val="006830F2"/>
    <w:rsid w:val="00684B89"/>
    <w:rsid w:val="006906E7"/>
    <w:rsid w:val="00697F63"/>
    <w:rsid w:val="006B4C64"/>
    <w:rsid w:val="006C4DBD"/>
    <w:rsid w:val="006C7200"/>
    <w:rsid w:val="006C7238"/>
    <w:rsid w:val="006E286E"/>
    <w:rsid w:val="006E54F8"/>
    <w:rsid w:val="006F7237"/>
    <w:rsid w:val="007008D6"/>
    <w:rsid w:val="00724D8B"/>
    <w:rsid w:val="00734BF2"/>
    <w:rsid w:val="0075032B"/>
    <w:rsid w:val="00760E36"/>
    <w:rsid w:val="00775D07"/>
    <w:rsid w:val="00782643"/>
    <w:rsid w:val="00791E27"/>
    <w:rsid w:val="007A0285"/>
    <w:rsid w:val="007A6A8C"/>
    <w:rsid w:val="007A7E5B"/>
    <w:rsid w:val="007B092E"/>
    <w:rsid w:val="007B2591"/>
    <w:rsid w:val="007B458B"/>
    <w:rsid w:val="007C0833"/>
    <w:rsid w:val="007C117D"/>
    <w:rsid w:val="007E0F1C"/>
    <w:rsid w:val="007E2315"/>
    <w:rsid w:val="007E5B48"/>
    <w:rsid w:val="007F256F"/>
    <w:rsid w:val="0080580B"/>
    <w:rsid w:val="00817842"/>
    <w:rsid w:val="0084099B"/>
    <w:rsid w:val="00843015"/>
    <w:rsid w:val="00856A6A"/>
    <w:rsid w:val="00864331"/>
    <w:rsid w:val="00871788"/>
    <w:rsid w:val="00871AAD"/>
    <w:rsid w:val="00873326"/>
    <w:rsid w:val="00874906"/>
    <w:rsid w:val="00874B7A"/>
    <w:rsid w:val="00882AD7"/>
    <w:rsid w:val="0088637B"/>
    <w:rsid w:val="00886D43"/>
    <w:rsid w:val="008902C9"/>
    <w:rsid w:val="008A7D7B"/>
    <w:rsid w:val="008B02C5"/>
    <w:rsid w:val="008B3240"/>
    <w:rsid w:val="008B44F6"/>
    <w:rsid w:val="008C3254"/>
    <w:rsid w:val="008E281B"/>
    <w:rsid w:val="008F5B2C"/>
    <w:rsid w:val="008F6FDD"/>
    <w:rsid w:val="00900031"/>
    <w:rsid w:val="009017EF"/>
    <w:rsid w:val="0090658B"/>
    <w:rsid w:val="00914EDB"/>
    <w:rsid w:val="00915B1C"/>
    <w:rsid w:val="009258A8"/>
    <w:rsid w:val="0095408A"/>
    <w:rsid w:val="0095521E"/>
    <w:rsid w:val="00955808"/>
    <w:rsid w:val="0096138A"/>
    <w:rsid w:val="009634B3"/>
    <w:rsid w:val="009908C6"/>
    <w:rsid w:val="0099150D"/>
    <w:rsid w:val="00992932"/>
    <w:rsid w:val="009929DA"/>
    <w:rsid w:val="00994D27"/>
    <w:rsid w:val="009A3F80"/>
    <w:rsid w:val="009B1B24"/>
    <w:rsid w:val="009B564B"/>
    <w:rsid w:val="009B62B6"/>
    <w:rsid w:val="009B7408"/>
    <w:rsid w:val="009C1BE3"/>
    <w:rsid w:val="009C5EE8"/>
    <w:rsid w:val="009C6C4E"/>
    <w:rsid w:val="009F0DD5"/>
    <w:rsid w:val="009F16D4"/>
    <w:rsid w:val="009F783D"/>
    <w:rsid w:val="00A01DF0"/>
    <w:rsid w:val="00A021FE"/>
    <w:rsid w:val="00A25CA9"/>
    <w:rsid w:val="00A309B9"/>
    <w:rsid w:val="00A33EB4"/>
    <w:rsid w:val="00A455B6"/>
    <w:rsid w:val="00A47978"/>
    <w:rsid w:val="00A47D90"/>
    <w:rsid w:val="00A636A8"/>
    <w:rsid w:val="00A7619F"/>
    <w:rsid w:val="00A8106F"/>
    <w:rsid w:val="00A82CB5"/>
    <w:rsid w:val="00A85F42"/>
    <w:rsid w:val="00A869FF"/>
    <w:rsid w:val="00A8791D"/>
    <w:rsid w:val="00A90965"/>
    <w:rsid w:val="00A90D0E"/>
    <w:rsid w:val="00A9110F"/>
    <w:rsid w:val="00AA0101"/>
    <w:rsid w:val="00AA2BEB"/>
    <w:rsid w:val="00AB7962"/>
    <w:rsid w:val="00AD4DC0"/>
    <w:rsid w:val="00AE6990"/>
    <w:rsid w:val="00AF2AF2"/>
    <w:rsid w:val="00B00952"/>
    <w:rsid w:val="00B068F7"/>
    <w:rsid w:val="00B110C0"/>
    <w:rsid w:val="00B144CF"/>
    <w:rsid w:val="00B21592"/>
    <w:rsid w:val="00B31D31"/>
    <w:rsid w:val="00B32D3B"/>
    <w:rsid w:val="00B413FF"/>
    <w:rsid w:val="00B44987"/>
    <w:rsid w:val="00B4680C"/>
    <w:rsid w:val="00B52579"/>
    <w:rsid w:val="00B77BFB"/>
    <w:rsid w:val="00BA3951"/>
    <w:rsid w:val="00BB2642"/>
    <w:rsid w:val="00BB3DE3"/>
    <w:rsid w:val="00BE3BF6"/>
    <w:rsid w:val="00BF7A09"/>
    <w:rsid w:val="00C128FB"/>
    <w:rsid w:val="00C33665"/>
    <w:rsid w:val="00C36665"/>
    <w:rsid w:val="00C37AA0"/>
    <w:rsid w:val="00C43EAA"/>
    <w:rsid w:val="00C477C3"/>
    <w:rsid w:val="00C7084E"/>
    <w:rsid w:val="00C82215"/>
    <w:rsid w:val="00C83CC9"/>
    <w:rsid w:val="00C841D0"/>
    <w:rsid w:val="00C9547A"/>
    <w:rsid w:val="00C95578"/>
    <w:rsid w:val="00CA0CFB"/>
    <w:rsid w:val="00CA4EC9"/>
    <w:rsid w:val="00CD5ABB"/>
    <w:rsid w:val="00CE3E6F"/>
    <w:rsid w:val="00CE544D"/>
    <w:rsid w:val="00CE5B27"/>
    <w:rsid w:val="00CF34A3"/>
    <w:rsid w:val="00CF3BFF"/>
    <w:rsid w:val="00D06303"/>
    <w:rsid w:val="00D06730"/>
    <w:rsid w:val="00D1156B"/>
    <w:rsid w:val="00D12D56"/>
    <w:rsid w:val="00D338DA"/>
    <w:rsid w:val="00D47FB6"/>
    <w:rsid w:val="00D529FC"/>
    <w:rsid w:val="00D669BF"/>
    <w:rsid w:val="00D66B5C"/>
    <w:rsid w:val="00D7389F"/>
    <w:rsid w:val="00D74009"/>
    <w:rsid w:val="00D75350"/>
    <w:rsid w:val="00D7625F"/>
    <w:rsid w:val="00D83D8C"/>
    <w:rsid w:val="00D95D02"/>
    <w:rsid w:val="00DA0424"/>
    <w:rsid w:val="00DA3684"/>
    <w:rsid w:val="00DA3896"/>
    <w:rsid w:val="00DA3D49"/>
    <w:rsid w:val="00DA7812"/>
    <w:rsid w:val="00DB26E6"/>
    <w:rsid w:val="00DB28E8"/>
    <w:rsid w:val="00DB2B43"/>
    <w:rsid w:val="00DC034C"/>
    <w:rsid w:val="00DC76CE"/>
    <w:rsid w:val="00DD2255"/>
    <w:rsid w:val="00DD2287"/>
    <w:rsid w:val="00DD2CF9"/>
    <w:rsid w:val="00DD4A5A"/>
    <w:rsid w:val="00DD7035"/>
    <w:rsid w:val="00DF35C4"/>
    <w:rsid w:val="00DF5D11"/>
    <w:rsid w:val="00E049F3"/>
    <w:rsid w:val="00E07636"/>
    <w:rsid w:val="00E10CF1"/>
    <w:rsid w:val="00E20604"/>
    <w:rsid w:val="00E20E4F"/>
    <w:rsid w:val="00E254EF"/>
    <w:rsid w:val="00E25DCA"/>
    <w:rsid w:val="00E42628"/>
    <w:rsid w:val="00E44E5E"/>
    <w:rsid w:val="00E57C69"/>
    <w:rsid w:val="00E62320"/>
    <w:rsid w:val="00E626EB"/>
    <w:rsid w:val="00E631C6"/>
    <w:rsid w:val="00E712B0"/>
    <w:rsid w:val="00E7186B"/>
    <w:rsid w:val="00E80E22"/>
    <w:rsid w:val="00EA7F9E"/>
    <w:rsid w:val="00EC09A7"/>
    <w:rsid w:val="00EC1E7C"/>
    <w:rsid w:val="00ED48B1"/>
    <w:rsid w:val="00ED7EA4"/>
    <w:rsid w:val="00EE13B6"/>
    <w:rsid w:val="00EE2341"/>
    <w:rsid w:val="00EE36F6"/>
    <w:rsid w:val="00EF3641"/>
    <w:rsid w:val="00F105CE"/>
    <w:rsid w:val="00F110CC"/>
    <w:rsid w:val="00F15B22"/>
    <w:rsid w:val="00F236DF"/>
    <w:rsid w:val="00F3058E"/>
    <w:rsid w:val="00F30DF9"/>
    <w:rsid w:val="00F30E8C"/>
    <w:rsid w:val="00F323C3"/>
    <w:rsid w:val="00F45D24"/>
    <w:rsid w:val="00F65315"/>
    <w:rsid w:val="00F71BA2"/>
    <w:rsid w:val="00F725A8"/>
    <w:rsid w:val="00F869EB"/>
    <w:rsid w:val="00F91DD5"/>
    <w:rsid w:val="00F922B0"/>
    <w:rsid w:val="00F964D2"/>
    <w:rsid w:val="00FA6C35"/>
    <w:rsid w:val="00FD05E7"/>
    <w:rsid w:val="00FD2502"/>
    <w:rsid w:val="00FE3EA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48E06"/>
  <w15:chartTrackingRefBased/>
  <w15:docId w15:val="{A60D0F86-5E4F-4348-A3DF-544F3747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2837-F517-4BC6-8780-D5C9B5DD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2026-04-01T12:08:00Z</cp:lastPrinted>
  <dcterms:created xsi:type="dcterms:W3CDTF">2026-04-02T11:25:00Z</dcterms:created>
  <dcterms:modified xsi:type="dcterms:W3CDTF">2026-04-02T11:25:00Z</dcterms:modified>
</cp:coreProperties>
</file>