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CCE8" w14:textId="0365D937" w:rsidR="00F02E6F" w:rsidRPr="0040173C" w:rsidRDefault="00F02E6F" w:rsidP="00F02E6F">
      <w:pPr>
        <w:pStyle w:val="Title"/>
      </w:pPr>
    </w:p>
    <w:p w14:paraId="34C4BA92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A364828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F7B0D90" w14:textId="183AEA8D" w:rsidR="00592D9D" w:rsidRPr="00DF31C2" w:rsidRDefault="00996409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EC3F77E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3EFAA717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30E9032F" w14:textId="23486B33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99640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278</w:t>
      </w:r>
    </w:p>
    <w:p w14:paraId="762BF624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F8EBBA4" w14:textId="2D00828B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96409">
        <w:rPr>
          <w:rFonts w:ascii="Times New Roman" w:hAnsi="Times New Roman"/>
          <w:b/>
          <w:sz w:val="30"/>
          <w:szCs w:val="30"/>
          <w:lang w:val="bg-BG"/>
        </w:rPr>
        <w:t>9 април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1C14017" w14:textId="77777777" w:rsidR="00592D9D" w:rsidRPr="0040173C" w:rsidRDefault="00592D9D" w:rsidP="00592D9D">
      <w:pPr>
        <w:rPr>
          <w:lang w:val="bg-BG"/>
        </w:rPr>
      </w:pPr>
    </w:p>
    <w:p w14:paraId="1DC4B76E" w14:textId="77777777" w:rsidR="008E2D3E" w:rsidRPr="0040173C" w:rsidRDefault="008E2D3E" w:rsidP="00592D9D">
      <w:pPr>
        <w:rPr>
          <w:lang w:val="bg-BG"/>
        </w:rPr>
      </w:pPr>
    </w:p>
    <w:p w14:paraId="1EBDC138" w14:textId="55AF46E4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4216AF" w:rsidRPr="004216AF">
        <w:rPr>
          <w:rFonts w:ascii="Arial" w:hAnsi="Arial" w:cs="Arial"/>
          <w:b/>
          <w:smallCaps/>
          <w:sz w:val="26"/>
          <w:szCs w:val="26"/>
          <w:lang w:val="bg-BG"/>
        </w:rPr>
        <w:t>одобряване на национални програми за развитие на образованието</w:t>
      </w:r>
    </w:p>
    <w:p w14:paraId="70AA350B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A28928B" w14:textId="4385A372" w:rsidR="004216AF" w:rsidRPr="00261870" w:rsidRDefault="004216AF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216AF">
        <w:rPr>
          <w:rFonts w:ascii="Arial" w:hAnsi="Arial" w:cs="Arial"/>
          <w:sz w:val="26"/>
          <w:szCs w:val="26"/>
          <w:lang w:val="bg-BG"/>
        </w:rPr>
        <w:t>На основание чл. 286, ал. 3 от Закона за предучилищното и училищното образование</w:t>
      </w:r>
    </w:p>
    <w:p w14:paraId="4CC1CD93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1F84D81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DC2242E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BF2DC24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EF42C6B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3858C875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349A1716" w14:textId="77777777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90ECC">
        <w:rPr>
          <w:rFonts w:ascii="Arial" w:hAnsi="Arial"/>
          <w:b/>
          <w:bCs/>
          <w:sz w:val="26"/>
          <w:szCs w:val="26"/>
          <w:lang w:val="bg-BG"/>
        </w:rPr>
        <w:t>1.</w:t>
      </w:r>
      <w:r w:rsidRPr="00CE645F">
        <w:rPr>
          <w:rFonts w:ascii="Arial" w:hAnsi="Arial"/>
          <w:sz w:val="26"/>
          <w:szCs w:val="26"/>
          <w:lang w:val="bg-BG"/>
        </w:rPr>
        <w:t xml:space="preserve"> Одобрява национални програми за развитие на образованието, както следва:</w:t>
      </w:r>
    </w:p>
    <w:p w14:paraId="167481BC" w14:textId="56C4D7CC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а) Национална програма „Система за национално стандартизирано външно оценяване“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1;</w:t>
      </w:r>
    </w:p>
    <w:p w14:paraId="0EA1BB81" w14:textId="44AA34F4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б) Национална програма „Ученически олимпиади и състезания“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2;</w:t>
      </w:r>
    </w:p>
    <w:p w14:paraId="6DA2EBCC" w14:textId="50BE57C5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в) Национална програма „Осигуряване на съвременна, сигурна и достъпна образователна среда“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3;</w:t>
      </w:r>
    </w:p>
    <w:p w14:paraId="1E3CEA32" w14:textId="313A0652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г) Национална програма „Хубаво е в детската градина“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4;</w:t>
      </w:r>
    </w:p>
    <w:p w14:paraId="21F14806" w14:textId="1A1144E5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lastRenderedPageBreak/>
        <w:t xml:space="preserve">д) Национална програма „Информационни и комуникационни технологии (ИКТ) в системата на предучилищното и училищното образование“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5;</w:t>
      </w:r>
    </w:p>
    <w:p w14:paraId="4064C913" w14:textId="238CB526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е) Национална програма „Квалификация на педагогическите специалисти“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6;</w:t>
      </w:r>
    </w:p>
    <w:p w14:paraId="7582AEE6" w14:textId="680E2FDE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ж) Национална програма „Заедно за всяко дете“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7;</w:t>
      </w:r>
    </w:p>
    <w:p w14:paraId="317C94F5" w14:textId="034F5947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з) Национална програма „Оптимизиране на вътрешната структура на персонала“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8;</w:t>
      </w:r>
    </w:p>
    <w:p w14:paraId="136B47F5" w14:textId="1620B56A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и) Национална програма „Иновации в действие“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9;</w:t>
      </w:r>
    </w:p>
    <w:p w14:paraId="15B44A63" w14:textId="7FDC54F6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й) Национална програма „Учебници, учебни комплекти и учебни помагала“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10;</w:t>
      </w:r>
    </w:p>
    <w:p w14:paraId="40967D46" w14:textId="42B44DB7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к) Национална програма „Подпомагане на общините за образователна десегрегация“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11;</w:t>
      </w:r>
    </w:p>
    <w:p w14:paraId="6850C0F1" w14:textId="1A163222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л) Национална програма „Без свободен час“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12;</w:t>
      </w:r>
    </w:p>
    <w:p w14:paraId="7D06C792" w14:textId="608E1538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м) Национална програма „Роден език и култура зад граница“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13;</w:t>
      </w:r>
    </w:p>
    <w:p w14:paraId="08232D12" w14:textId="45D10180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н) Национална програма „Професионално образование и обучение“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14;</w:t>
      </w:r>
    </w:p>
    <w:p w14:paraId="4884B6EC" w14:textId="7E336483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о) Национална програма „Приобщаваща и сигурна образователна среда“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15;</w:t>
      </w:r>
    </w:p>
    <w:p w14:paraId="266A5C18" w14:textId="14A3EDB4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п) Национална програма „Обучение за ИТ умения и кариера“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16;</w:t>
      </w:r>
    </w:p>
    <w:p w14:paraId="595BCED2" w14:textId="6FE2CC75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р) Национална програма „Профилактика и рехабилитация на педагогическите специалисти“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17;</w:t>
      </w:r>
    </w:p>
    <w:p w14:paraId="321A40C8" w14:textId="6ACA9BF0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lastRenderedPageBreak/>
        <w:t>с) Национална програма „</w:t>
      </w:r>
      <w:proofErr w:type="spellStart"/>
      <w:r w:rsidRPr="00CE645F">
        <w:rPr>
          <w:rFonts w:ascii="Arial" w:hAnsi="Arial"/>
          <w:sz w:val="26"/>
          <w:szCs w:val="26"/>
          <w:lang w:val="bg-BG"/>
        </w:rPr>
        <w:t>Неразказаните</w:t>
      </w:r>
      <w:proofErr w:type="spellEnd"/>
      <w:r w:rsidRPr="00CE645F">
        <w:rPr>
          <w:rFonts w:ascii="Arial" w:hAnsi="Arial"/>
          <w:sz w:val="26"/>
          <w:szCs w:val="26"/>
          <w:lang w:val="bg-BG"/>
        </w:rPr>
        <w:t xml:space="preserve"> истории на българите“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18;</w:t>
      </w:r>
    </w:p>
    <w:p w14:paraId="3434011D" w14:textId="79CD34B4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т) Национална програма „България – образователни маршрути“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19;</w:t>
      </w:r>
    </w:p>
    <w:p w14:paraId="4A1B81D0" w14:textId="506BDA98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у) Национална програма „Заедно в изкуствата и в спорта“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20;</w:t>
      </w:r>
    </w:p>
    <w:p w14:paraId="1C4FDEF5" w14:textId="54ADE723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ф) Национална програма на Министерството на образованието и науката (МОН) и на Министерството на отбраната (МО) „Изучаване и съхраняване на традициите и историята на българската армия“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21;</w:t>
      </w:r>
    </w:p>
    <w:p w14:paraId="3F29210A" w14:textId="0B2BC20D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х) Национална програма „Безопасност на движението по пътищата“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22;</w:t>
      </w:r>
    </w:p>
    <w:p w14:paraId="27E553C7" w14:textId="28C01DBA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ц) Национална програма „Бъдеще за таланти“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23;</w:t>
      </w:r>
    </w:p>
    <w:p w14:paraId="23CBB649" w14:textId="6D413A77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E645F">
        <w:rPr>
          <w:rFonts w:ascii="Arial" w:hAnsi="Arial"/>
          <w:sz w:val="26"/>
          <w:szCs w:val="26"/>
          <w:lang w:val="bg-BG"/>
        </w:rPr>
        <w:t xml:space="preserve">ч) Национална програма „Умения на фокус“ съгласно </w:t>
      </w:r>
      <w:r w:rsidR="002F34A7" w:rsidRPr="00CE645F">
        <w:rPr>
          <w:rFonts w:ascii="Arial" w:hAnsi="Arial"/>
          <w:sz w:val="26"/>
          <w:szCs w:val="26"/>
          <w:lang w:val="bg-BG"/>
        </w:rPr>
        <w:t>П</w:t>
      </w:r>
      <w:r w:rsidRPr="00CE645F">
        <w:rPr>
          <w:rFonts w:ascii="Arial" w:hAnsi="Arial"/>
          <w:sz w:val="26"/>
          <w:szCs w:val="26"/>
          <w:lang w:val="bg-BG"/>
        </w:rPr>
        <w:t>риложение № 24.</w:t>
      </w:r>
    </w:p>
    <w:p w14:paraId="591CE2D0" w14:textId="77777777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90ECC">
        <w:rPr>
          <w:rFonts w:ascii="Arial" w:hAnsi="Arial"/>
          <w:b/>
          <w:bCs/>
          <w:sz w:val="26"/>
          <w:szCs w:val="26"/>
          <w:lang w:val="bg-BG"/>
        </w:rPr>
        <w:t>2.</w:t>
      </w:r>
      <w:r w:rsidRPr="00CE645F">
        <w:rPr>
          <w:rFonts w:ascii="Arial" w:hAnsi="Arial"/>
          <w:sz w:val="26"/>
          <w:szCs w:val="26"/>
          <w:lang w:val="bg-BG"/>
        </w:rPr>
        <w:t xml:space="preserve"> Министърът на образованието и науката може да извършва компенсирани промени на одобрените средства по националните програми по т. 1 и между отделните модули по всяка програма при запазване на целите и обхвата на отделните програми.</w:t>
      </w:r>
    </w:p>
    <w:p w14:paraId="44362CAA" w14:textId="77777777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90ECC">
        <w:rPr>
          <w:rFonts w:ascii="Arial" w:hAnsi="Arial"/>
          <w:b/>
          <w:bCs/>
          <w:sz w:val="26"/>
          <w:szCs w:val="26"/>
          <w:lang w:val="bg-BG"/>
        </w:rPr>
        <w:t>3.</w:t>
      </w:r>
      <w:r w:rsidRPr="00CE645F">
        <w:rPr>
          <w:rFonts w:ascii="Arial" w:hAnsi="Arial"/>
          <w:sz w:val="26"/>
          <w:szCs w:val="26"/>
          <w:lang w:val="bg-BG"/>
        </w:rPr>
        <w:t xml:space="preserve"> Необходимите средства за изпълнение на националните програми по т. 1 се осигуряват от бюджета на Министерството на образованието и науката и от централния бюджет с изключение на Националната програма по т. 1, буква „ф“, Модул 2, за която средствата се осигуряват от бюджета на Министерството на отбраната.</w:t>
      </w:r>
    </w:p>
    <w:p w14:paraId="6D5C4D32" w14:textId="77777777" w:rsidR="00CE645F" w:rsidRPr="00CE645F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90ECC">
        <w:rPr>
          <w:rFonts w:ascii="Arial" w:hAnsi="Arial"/>
          <w:b/>
          <w:bCs/>
          <w:sz w:val="26"/>
          <w:szCs w:val="26"/>
          <w:lang w:val="bg-BG"/>
        </w:rPr>
        <w:t>4.</w:t>
      </w:r>
      <w:r w:rsidRPr="00CE645F">
        <w:rPr>
          <w:rFonts w:ascii="Arial" w:hAnsi="Arial"/>
          <w:sz w:val="26"/>
          <w:szCs w:val="26"/>
          <w:lang w:val="bg-BG"/>
        </w:rPr>
        <w:t xml:space="preserve"> При кандидатстване по програмите не се допускат до класиране проекти на първостепенни и второстепенни разпоредители с бюджет, които през предходната година не са използвали по </w:t>
      </w:r>
      <w:r w:rsidRPr="00CE645F">
        <w:rPr>
          <w:rFonts w:ascii="Arial" w:hAnsi="Arial"/>
          <w:sz w:val="26"/>
          <w:szCs w:val="26"/>
          <w:lang w:val="bg-BG"/>
        </w:rPr>
        <w:lastRenderedPageBreak/>
        <w:t>предназначение предоставените им средства по националната програма за развитие на образованието, за която кандидатстват.</w:t>
      </w:r>
    </w:p>
    <w:p w14:paraId="410F0433" w14:textId="090A7665" w:rsidR="0040173C" w:rsidRPr="0040173C" w:rsidRDefault="00CE645F" w:rsidP="00CE645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90ECC">
        <w:rPr>
          <w:rFonts w:ascii="Arial" w:hAnsi="Arial"/>
          <w:b/>
          <w:bCs/>
          <w:sz w:val="26"/>
          <w:szCs w:val="26"/>
          <w:lang w:val="bg-BG"/>
        </w:rPr>
        <w:t>5.</w:t>
      </w:r>
      <w:r w:rsidRPr="00CE645F">
        <w:rPr>
          <w:rFonts w:ascii="Arial" w:hAnsi="Arial"/>
          <w:sz w:val="26"/>
          <w:szCs w:val="26"/>
          <w:lang w:val="bg-BG"/>
        </w:rPr>
        <w:t xml:space="preserve"> Министърът на образованието и науката до 15 април 2027 г. да публикува на интернет страницата на Министерството на образованието и науката отчет за изпълнението на програмите по т. 1.</w:t>
      </w:r>
    </w:p>
    <w:p w14:paraId="7820EE3E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260B8EF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3A37EC4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2430C27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6EE00AA" w14:textId="77777777" w:rsidR="00996409" w:rsidRPr="005C52E8" w:rsidRDefault="00996409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539C6F8B" w14:textId="77777777" w:rsidR="00996409" w:rsidRPr="005C52E8" w:rsidRDefault="00996409">
      <w:pPr>
        <w:ind w:firstLine="1134"/>
        <w:rPr>
          <w:rFonts w:ascii="Arial" w:hAnsi="Arial" w:cs="Arial"/>
          <w:b/>
        </w:rPr>
      </w:pPr>
    </w:p>
    <w:p w14:paraId="33701604" w14:textId="77777777" w:rsidR="00996409" w:rsidRPr="005C52E8" w:rsidRDefault="00996409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6E096E38" w14:textId="77777777" w:rsidR="00996409" w:rsidRPr="005C52E8" w:rsidRDefault="00996409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7AD64138" w14:textId="77777777" w:rsidR="00996409" w:rsidRPr="005C52E8" w:rsidRDefault="00996409">
      <w:pPr>
        <w:rPr>
          <w:rFonts w:ascii="Arial" w:hAnsi="Arial" w:cs="Arial"/>
          <w:b/>
        </w:rPr>
      </w:pPr>
    </w:p>
    <w:sectPr w:rsidR="00996409" w:rsidRPr="005C52E8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0F6A" w14:textId="77777777" w:rsidR="00DE1F20" w:rsidRDefault="00DE1F20">
      <w:r>
        <w:separator/>
      </w:r>
    </w:p>
  </w:endnote>
  <w:endnote w:type="continuationSeparator" w:id="0">
    <w:p w14:paraId="61B883A7" w14:textId="77777777" w:rsidR="00DE1F20" w:rsidRDefault="00DE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42BC" w14:textId="77777777" w:rsidR="00DE1F20" w:rsidRDefault="00DE1F20">
      <w:r>
        <w:separator/>
      </w:r>
    </w:p>
  </w:footnote>
  <w:footnote w:type="continuationSeparator" w:id="0">
    <w:p w14:paraId="3FAC137E" w14:textId="77777777" w:rsidR="00DE1F20" w:rsidRDefault="00DE1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86CC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3E179F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8122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00B7BEEF" w14:textId="77777777" w:rsidR="00E15014" w:rsidRDefault="00E15014">
    <w:pPr>
      <w:pStyle w:val="Header"/>
    </w:pPr>
  </w:p>
  <w:p w14:paraId="2424988A" w14:textId="77777777" w:rsidR="00E15014" w:rsidRDefault="00E15014">
    <w:pPr>
      <w:pStyle w:val="Header"/>
    </w:pPr>
  </w:p>
  <w:p w14:paraId="2AFCA513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053435">
    <w:abstractNumId w:val="25"/>
  </w:num>
  <w:num w:numId="2" w16cid:durableId="1098478077">
    <w:abstractNumId w:val="24"/>
  </w:num>
  <w:num w:numId="3" w16cid:durableId="1502812475">
    <w:abstractNumId w:val="20"/>
  </w:num>
  <w:num w:numId="4" w16cid:durableId="718473420">
    <w:abstractNumId w:val="28"/>
  </w:num>
  <w:num w:numId="5" w16cid:durableId="721250137">
    <w:abstractNumId w:val="11"/>
  </w:num>
  <w:num w:numId="6" w16cid:durableId="476385361">
    <w:abstractNumId w:val="18"/>
  </w:num>
  <w:num w:numId="7" w16cid:durableId="961764417">
    <w:abstractNumId w:val="32"/>
  </w:num>
  <w:num w:numId="8" w16cid:durableId="1655984266">
    <w:abstractNumId w:val="22"/>
  </w:num>
  <w:num w:numId="9" w16cid:durableId="2010868605">
    <w:abstractNumId w:val="29"/>
  </w:num>
  <w:num w:numId="10" w16cid:durableId="1809855356">
    <w:abstractNumId w:val="17"/>
  </w:num>
  <w:num w:numId="11" w16cid:durableId="1372338686">
    <w:abstractNumId w:val="1"/>
  </w:num>
  <w:num w:numId="12" w16cid:durableId="113866322">
    <w:abstractNumId w:val="0"/>
  </w:num>
  <w:num w:numId="13" w16cid:durableId="2132824174">
    <w:abstractNumId w:val="6"/>
  </w:num>
  <w:num w:numId="14" w16cid:durableId="1069032941">
    <w:abstractNumId w:val="21"/>
  </w:num>
  <w:num w:numId="15" w16cid:durableId="1072891931">
    <w:abstractNumId w:val="19"/>
  </w:num>
  <w:num w:numId="16" w16cid:durableId="525023509">
    <w:abstractNumId w:val="14"/>
  </w:num>
  <w:num w:numId="17" w16cid:durableId="477113766">
    <w:abstractNumId w:val="27"/>
  </w:num>
  <w:num w:numId="18" w16cid:durableId="1860243376">
    <w:abstractNumId w:val="31"/>
  </w:num>
  <w:num w:numId="19" w16cid:durableId="2112236013">
    <w:abstractNumId w:val="16"/>
  </w:num>
  <w:num w:numId="20" w16cid:durableId="423496533">
    <w:abstractNumId w:val="7"/>
  </w:num>
  <w:num w:numId="21" w16cid:durableId="2091732528">
    <w:abstractNumId w:val="10"/>
  </w:num>
  <w:num w:numId="22" w16cid:durableId="1188376551">
    <w:abstractNumId w:val="8"/>
  </w:num>
  <w:num w:numId="23" w16cid:durableId="2096053052">
    <w:abstractNumId w:val="33"/>
  </w:num>
  <w:num w:numId="24" w16cid:durableId="762922305">
    <w:abstractNumId w:val="23"/>
  </w:num>
  <w:num w:numId="25" w16cid:durableId="397675604">
    <w:abstractNumId w:val="15"/>
  </w:num>
  <w:num w:numId="26" w16cid:durableId="859782013">
    <w:abstractNumId w:val="4"/>
  </w:num>
  <w:num w:numId="27" w16cid:durableId="1704359402">
    <w:abstractNumId w:val="30"/>
  </w:num>
  <w:num w:numId="28" w16cid:durableId="1815247782">
    <w:abstractNumId w:val="9"/>
  </w:num>
  <w:num w:numId="29" w16cid:durableId="1432362155">
    <w:abstractNumId w:val="2"/>
  </w:num>
  <w:num w:numId="30" w16cid:durableId="194082558">
    <w:abstractNumId w:val="12"/>
  </w:num>
  <w:num w:numId="31" w16cid:durableId="1184634567">
    <w:abstractNumId w:val="13"/>
  </w:num>
  <w:num w:numId="32" w16cid:durableId="181290196">
    <w:abstractNumId w:val="3"/>
  </w:num>
  <w:num w:numId="33" w16cid:durableId="806162154">
    <w:abstractNumId w:val="26"/>
  </w:num>
  <w:num w:numId="34" w16cid:durableId="1549872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127E9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3212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34A7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216AF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0ECC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3593D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0CC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96409"/>
    <w:rsid w:val="009B4FFC"/>
    <w:rsid w:val="009B6377"/>
    <w:rsid w:val="009B78B5"/>
    <w:rsid w:val="009C11CF"/>
    <w:rsid w:val="009C798B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E645F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1F20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43727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83F8B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764FF"/>
  <w15:chartTrackingRefBased/>
  <w15:docId w15:val="{A239631C-F8D0-4558-98BD-B991AAE1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577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2026-04-09T10:47:00Z</dcterms:created>
  <dcterms:modified xsi:type="dcterms:W3CDTF">2026-04-09T10:47:00Z</dcterms:modified>
</cp:coreProperties>
</file>