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CA7CE7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E249670" w14:textId="77777777" w:rsidR="0043516B" w:rsidRPr="0043516B" w:rsidRDefault="0043516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B410A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410A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410A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410A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410A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410A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410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14F887B" w:rsidR="001D6269" w:rsidRPr="00225802" w:rsidRDefault="00225802" w:rsidP="0040560B">
      <w:pPr>
        <w:jc w:val="right"/>
        <w:rPr>
          <w:rFonts w:ascii="Arial" w:hAnsi="Arial"/>
          <w:b/>
          <w:szCs w:val="24"/>
          <w:lang w:val="bg-BG"/>
        </w:rPr>
      </w:pPr>
      <w:r w:rsidRPr="0022580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B410A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B410A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98D17BF" w:rsidR="001D6269" w:rsidRPr="00B410A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410A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2580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350</w:t>
      </w:r>
    </w:p>
    <w:p w14:paraId="560FFC16" w14:textId="77777777" w:rsidR="001D6269" w:rsidRPr="00B410A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B88D05F" w:rsidR="001D6269" w:rsidRPr="00B410A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410A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410A8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25802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B410A8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B410A8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B410A8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B410A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410A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410A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B410A8" w:rsidRDefault="00DB238A">
      <w:pPr>
        <w:rPr>
          <w:rFonts w:ascii="Times New Roman" w:hAnsi="Times New Roman"/>
          <w:b/>
          <w:lang w:val="bg-BG"/>
        </w:rPr>
      </w:pPr>
    </w:p>
    <w:p w14:paraId="5FB09D8D" w14:textId="545C3DF7" w:rsidR="00891781" w:rsidRPr="00B410A8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410A8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9D0775" w:rsidRPr="00B410A8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част от имот - публична държавна собственост, за имот - частна държавна собственост, и за даване на съгласие за премахването му</w:t>
      </w:r>
    </w:p>
    <w:p w14:paraId="159917FF" w14:textId="77777777" w:rsidR="00891781" w:rsidRPr="00B410A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D41E78A" w:rsidR="008B1025" w:rsidRPr="00B410A8" w:rsidRDefault="009D0775" w:rsidP="00AF373E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B410A8">
        <w:rPr>
          <w:rFonts w:ascii="Arial" w:hAnsi="Arial" w:cs="Arial"/>
          <w:bCs/>
          <w:sz w:val="28"/>
          <w:szCs w:val="28"/>
          <w:lang w:val="bg-BG"/>
        </w:rPr>
        <w:t xml:space="preserve"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</w:t>
      </w:r>
      <w:r w:rsidRPr="00B410A8">
        <w:rPr>
          <w:rFonts w:ascii="Arial" w:hAnsi="Arial" w:cs="Arial"/>
          <w:bCs/>
          <w:sz w:val="28"/>
          <w:szCs w:val="28"/>
          <w:lang w:val="bg-BG"/>
        </w:rPr>
        <w:br/>
        <w:t xml:space="preserve">2007 г., бр. 64, 80 и 91 от 2008 г., бр. 7, 25, 62 и 93 от 2009 г., бр. 31, 52, 58 и 69 от 2010 г., бр. 61, 80 и 105 от 2011 г., бр. 24 и 47 от </w:t>
      </w:r>
      <w:r w:rsidRPr="00B410A8">
        <w:rPr>
          <w:rFonts w:ascii="Arial" w:hAnsi="Arial" w:cs="Arial"/>
          <w:bCs/>
          <w:sz w:val="28"/>
          <w:szCs w:val="28"/>
          <w:lang w:val="bg-BG"/>
        </w:rPr>
        <w:br/>
        <w:t xml:space="preserve">2012 г., бр. 62, 80 и 87 от 2013 г., бр. 13, 15 и 102 от 2014 г., бр. 58 и 96 от 2016 г., бр. 70 от 2018 г., бр. 77 и 102 от 2019 г., бр. 40 от </w:t>
      </w:r>
      <w:r w:rsidRPr="00B410A8">
        <w:rPr>
          <w:rFonts w:ascii="Arial" w:hAnsi="Arial" w:cs="Arial"/>
          <w:bCs/>
          <w:sz w:val="28"/>
          <w:szCs w:val="28"/>
          <w:lang w:val="bg-BG"/>
        </w:rPr>
        <w:br/>
        <w:t>2020 г., бр. 36, 53 и 55 от 2022 г. и бр. 10 от 2026 г.)</w:t>
      </w:r>
    </w:p>
    <w:p w14:paraId="3012945B" w14:textId="77777777" w:rsidR="008B1025" w:rsidRPr="00B410A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B410A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B410A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410A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410A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410A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B410A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7A5B1C8" w14:textId="418B9AB6" w:rsidR="009D0775" w:rsidRPr="00B410A8" w:rsidRDefault="009D0775" w:rsidP="009D0775">
      <w:pPr>
        <w:numPr>
          <w:ilvl w:val="0"/>
          <w:numId w:val="19"/>
        </w:numPr>
        <w:tabs>
          <w:tab w:val="left" w:pos="1560"/>
        </w:tabs>
        <w:spacing w:line="360" w:lineRule="auto"/>
        <w:ind w:left="0"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 xml:space="preserve">Обявява за имот – частна държавна собственост, част от имот – публична държавна собственост, в управление на Министерството на околната среда и водите, намиращ се в област София, Столична община, гр. София, район „Овча купел“, </w:t>
      </w:r>
      <w:r w:rsidRPr="00B410A8">
        <w:rPr>
          <w:rFonts w:ascii="Arial" w:hAnsi="Arial" w:cs="Arial"/>
          <w:sz w:val="28"/>
          <w:szCs w:val="28"/>
          <w:lang w:val="bg-BG"/>
        </w:rPr>
        <w:br/>
        <w:t xml:space="preserve">ул. „Институтска“ № 1-А, в поземлен имот с идентификатор 68134.4339.319 по кадастралната карта и кадастралните регистри на </w:t>
      </w:r>
      <w:r w:rsidRPr="00B410A8">
        <w:rPr>
          <w:rFonts w:ascii="Arial" w:hAnsi="Arial" w:cs="Arial"/>
          <w:sz w:val="28"/>
          <w:szCs w:val="28"/>
          <w:lang w:val="bg-BG"/>
        </w:rPr>
        <w:lastRenderedPageBreak/>
        <w:t xml:space="preserve">гр. София, представляващ 12 сгради с предназначение: сгради със специално предназначение, подробно описани в Акт за публична държавна собственост № 12171 от 31 юли 2024 г., както следва: </w:t>
      </w:r>
    </w:p>
    <w:p w14:paraId="6AA20E09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а) сграда с идентификатор 68134.4339.319.5, със застроена площ 505 кв. м, на два етажа;</w:t>
      </w:r>
    </w:p>
    <w:p w14:paraId="66015AF1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б) сграда с идентификатор 68134.4339.319.6, със застроена площ 10 кв. м, на един етаж;</w:t>
      </w:r>
    </w:p>
    <w:p w14:paraId="5D0AAA10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в) сграда с идентификатор 68134.4339.319.8, със застроена площ 267 кв. м, на един етаж;</w:t>
      </w:r>
    </w:p>
    <w:p w14:paraId="7D2B11D5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г) сграда с идентификатор 68134.4339.319.12, със застроена площ 7 кв. м, на един етаж;</w:t>
      </w:r>
    </w:p>
    <w:p w14:paraId="78581967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д) сграда с идентификатор 68134.4339.319.14, със застроена площ 47 кв. м, на един етаж;</w:t>
      </w:r>
    </w:p>
    <w:p w14:paraId="66D37C87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е) сграда с идентификатор 68134.4339.319.15, със застроена площ 61 кв. м, на един етаж;</w:t>
      </w:r>
    </w:p>
    <w:p w14:paraId="5A5D2779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ж) сграда с идентификатор 68134.4339.319.16, със застроена площ 4 кв. м, на един етаж;</w:t>
      </w:r>
    </w:p>
    <w:p w14:paraId="42C04465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з) сграда с идентификатор 68134.4339.319.17, със застроена площ 23 кв. м, на един етаж;</w:t>
      </w:r>
    </w:p>
    <w:p w14:paraId="650C9EB2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и) сграда с идентификатор 68134.4339.319.18, със застроена площ 5 кв. м, на един етаж;</w:t>
      </w:r>
    </w:p>
    <w:p w14:paraId="303101DC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к) сграда с идентификатор 68134.4339.319.19, със застроена площ 27 кв. м, на един етаж;</w:t>
      </w:r>
    </w:p>
    <w:p w14:paraId="63211DAD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л) сграда с идентификатор 68134.4339.319.20, със застроена площ 20 кв. м, на един етаж;</w:t>
      </w:r>
    </w:p>
    <w:p w14:paraId="087C5E00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м) сграда с идентификатор 68134.4339.319.21, със застроена площ 6 кв. м, на един етаж.</w:t>
      </w:r>
    </w:p>
    <w:p w14:paraId="262EEBE9" w14:textId="77777777" w:rsidR="009D0775" w:rsidRPr="00B410A8" w:rsidRDefault="009D0775" w:rsidP="00B410A8">
      <w:pPr>
        <w:numPr>
          <w:ilvl w:val="0"/>
          <w:numId w:val="19"/>
        </w:numPr>
        <w:tabs>
          <w:tab w:val="left" w:pos="1560"/>
        </w:tabs>
        <w:spacing w:line="360" w:lineRule="auto"/>
        <w:ind w:left="0"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lastRenderedPageBreak/>
        <w:t>Дава съгласие Министерството на околната среда и водите да премахне сградите по т. 1 за своя сметка при спазване на изискванията на чл. 197 от Закона за устройство на територията и на чл. 160, ал. 2 от Закона за културното наследство.</w:t>
      </w:r>
    </w:p>
    <w:p w14:paraId="711D0F2D" w14:textId="77777777" w:rsidR="009D0775" w:rsidRPr="00B410A8" w:rsidRDefault="009D0775" w:rsidP="00B410A8">
      <w:pPr>
        <w:numPr>
          <w:ilvl w:val="0"/>
          <w:numId w:val="19"/>
        </w:numPr>
        <w:tabs>
          <w:tab w:val="left" w:pos="1560"/>
        </w:tabs>
        <w:spacing w:line="360" w:lineRule="auto"/>
        <w:ind w:left="0"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Възлага на Министерството на околната среда и водите:</w:t>
      </w:r>
    </w:p>
    <w:p w14:paraId="02DC20C5" w14:textId="78CA0D2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а) да уведоми Службата по геодезия, картография и кадастър – София</w:t>
      </w:r>
      <w:r w:rsidR="00B410A8" w:rsidRPr="00B410A8">
        <w:rPr>
          <w:rFonts w:ascii="Arial" w:hAnsi="Arial" w:cs="Arial"/>
          <w:sz w:val="28"/>
          <w:szCs w:val="28"/>
          <w:lang w:val="bg-BG"/>
        </w:rPr>
        <w:t>,</w:t>
      </w:r>
      <w:r w:rsidRPr="00B410A8">
        <w:rPr>
          <w:rFonts w:ascii="Arial" w:hAnsi="Arial" w:cs="Arial"/>
          <w:sz w:val="28"/>
          <w:szCs w:val="28"/>
          <w:lang w:val="bg-BG"/>
        </w:rPr>
        <w:t xml:space="preserve"> за необходимостта от отразяване на промените в кадастралната карта и кадастралните регистри на имота по т. 1;</w:t>
      </w:r>
    </w:p>
    <w:p w14:paraId="51E1DCF0" w14:textId="77777777" w:rsidR="009D0775" w:rsidRPr="00B410A8" w:rsidRDefault="009D0775" w:rsidP="009D0775">
      <w:pPr>
        <w:spacing w:line="360" w:lineRule="auto"/>
        <w:ind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>б) да уведоми областния управител на област София за извършеното премахване на имота по т. 1.</w:t>
      </w:r>
    </w:p>
    <w:p w14:paraId="4D2F5951" w14:textId="1D798A3E" w:rsidR="009D0775" w:rsidRPr="00B410A8" w:rsidRDefault="009D0775" w:rsidP="00B410A8">
      <w:pPr>
        <w:numPr>
          <w:ilvl w:val="0"/>
          <w:numId w:val="19"/>
        </w:numPr>
        <w:tabs>
          <w:tab w:val="left" w:pos="1560"/>
        </w:tabs>
        <w:spacing w:line="360" w:lineRule="auto"/>
        <w:ind w:left="0" w:right="71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410A8">
        <w:rPr>
          <w:rFonts w:ascii="Arial" w:hAnsi="Arial" w:cs="Arial"/>
          <w:sz w:val="28"/>
          <w:szCs w:val="28"/>
          <w:lang w:val="bg-BG"/>
        </w:rPr>
        <w:t xml:space="preserve">Областният управител на област София да отрази промяната в акта за публична държавна собственост за имота по </w:t>
      </w:r>
      <w:r w:rsidR="00B410A8" w:rsidRPr="00B410A8">
        <w:rPr>
          <w:rFonts w:ascii="Arial" w:hAnsi="Arial" w:cs="Arial"/>
          <w:sz w:val="28"/>
          <w:szCs w:val="28"/>
          <w:lang w:val="bg-BG"/>
        </w:rPr>
        <w:br/>
      </w:r>
      <w:r w:rsidRPr="00B410A8">
        <w:rPr>
          <w:rFonts w:ascii="Arial" w:hAnsi="Arial" w:cs="Arial"/>
          <w:sz w:val="28"/>
          <w:szCs w:val="28"/>
          <w:lang w:val="bg-BG"/>
        </w:rPr>
        <w:t>т. 1</w:t>
      </w: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B327CCC" w14:textId="77777777" w:rsidR="00225802" w:rsidRDefault="0022580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EA1271E" w14:textId="77777777" w:rsidR="00225802" w:rsidRPr="00B410A8" w:rsidRDefault="0022580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C3C4176" w14:textId="77777777" w:rsidR="00225802" w:rsidRPr="001801BA" w:rsidRDefault="0022580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1EA82808" w14:textId="77777777" w:rsidR="00225802" w:rsidRPr="001801BA" w:rsidRDefault="00225802">
      <w:pPr>
        <w:ind w:firstLine="1134"/>
        <w:rPr>
          <w:rFonts w:ascii="Arial" w:hAnsi="Arial" w:cs="Arial"/>
          <w:b/>
          <w:szCs w:val="24"/>
        </w:rPr>
      </w:pPr>
    </w:p>
    <w:p w14:paraId="34147E6B" w14:textId="77777777" w:rsidR="00225802" w:rsidRPr="001801BA" w:rsidRDefault="0022580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11429B9A" w14:textId="77777777" w:rsidR="00225802" w:rsidRPr="001801BA" w:rsidRDefault="0022580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4358166C" w14:textId="77777777" w:rsidR="00225802" w:rsidRPr="001801BA" w:rsidRDefault="00225802">
      <w:pPr>
        <w:ind w:left="1134"/>
        <w:rPr>
          <w:rFonts w:ascii="Arial" w:hAnsi="Arial" w:cs="Arial"/>
          <w:b/>
          <w:szCs w:val="24"/>
        </w:rPr>
      </w:pPr>
    </w:p>
    <w:sectPr w:rsidR="00225802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3213" w14:textId="77777777" w:rsidR="00C63517" w:rsidRDefault="00C63517">
      <w:r>
        <w:separator/>
      </w:r>
    </w:p>
  </w:endnote>
  <w:endnote w:type="continuationSeparator" w:id="0">
    <w:p w14:paraId="191795E2" w14:textId="77777777" w:rsidR="00C63517" w:rsidRDefault="00C6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873502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4C9454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1BB2D6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713E81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8D02E" w14:textId="77777777" w:rsidR="00C63517" w:rsidRDefault="00C63517">
      <w:r>
        <w:separator/>
      </w:r>
    </w:p>
  </w:footnote>
  <w:footnote w:type="continuationSeparator" w:id="0">
    <w:p w14:paraId="2793F0D7" w14:textId="77777777" w:rsidR="00C63517" w:rsidRDefault="00C6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4FC03647"/>
    <w:multiLevelType w:val="hybridMultilevel"/>
    <w:tmpl w:val="5F9E8CEC"/>
    <w:lvl w:ilvl="0" w:tplc="37788652">
      <w:start w:val="1"/>
      <w:numFmt w:val="decimal"/>
      <w:lvlText w:val="%1."/>
      <w:lvlJc w:val="left"/>
      <w:pPr>
        <w:ind w:left="1804" w:hanging="109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737367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2721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5802"/>
    <w:rsid w:val="00230ED6"/>
    <w:rsid w:val="00235900"/>
    <w:rsid w:val="00243719"/>
    <w:rsid w:val="00243DAE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5663"/>
    <w:rsid w:val="00426BFB"/>
    <w:rsid w:val="00434DE4"/>
    <w:rsid w:val="0043516B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18F9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3D8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4A78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B7724"/>
    <w:rsid w:val="009D0775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D201C"/>
    <w:rsid w:val="00AF373E"/>
    <w:rsid w:val="00AF4217"/>
    <w:rsid w:val="00B03051"/>
    <w:rsid w:val="00B06E97"/>
    <w:rsid w:val="00B07F73"/>
    <w:rsid w:val="00B10FE9"/>
    <w:rsid w:val="00B301A8"/>
    <w:rsid w:val="00B369B8"/>
    <w:rsid w:val="00B410A8"/>
    <w:rsid w:val="00B50878"/>
    <w:rsid w:val="00B531E7"/>
    <w:rsid w:val="00B5540D"/>
    <w:rsid w:val="00B6134A"/>
    <w:rsid w:val="00B6196A"/>
    <w:rsid w:val="00B626B9"/>
    <w:rsid w:val="00B65D59"/>
    <w:rsid w:val="00B914BD"/>
    <w:rsid w:val="00B9250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63517"/>
    <w:rsid w:val="00C74210"/>
    <w:rsid w:val="00C8211F"/>
    <w:rsid w:val="00C9078A"/>
    <w:rsid w:val="00CB0D2D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64932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1E36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2026-05-04T10:01:00Z</dcterms:created>
  <dcterms:modified xsi:type="dcterms:W3CDTF">2026-05-04T10:01:00Z</dcterms:modified>
</cp:coreProperties>
</file>