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DCE7C" w14:textId="77777777" w:rsidR="00AD087A" w:rsidRPr="00D45791" w:rsidRDefault="00AD087A">
      <w:pPr>
        <w:jc w:val="center"/>
        <w:rPr>
          <w:rFonts w:ascii="Times New Roman" w:hAnsi="Times New Roman"/>
          <w:b/>
          <w:sz w:val="28"/>
          <w:szCs w:val="28"/>
          <w:lang w:val="bg-BG"/>
        </w:rPr>
      </w:pPr>
    </w:p>
    <w:p w14:paraId="56D74E1A" w14:textId="77777777" w:rsidR="00AD087A" w:rsidRPr="00464EE6" w:rsidRDefault="00AD087A">
      <w:pPr>
        <w:jc w:val="center"/>
        <w:rPr>
          <w:rFonts w:ascii="Times New Roman" w:hAnsi="Times New Roman"/>
          <w:b/>
          <w:sz w:val="36"/>
          <w:szCs w:val="36"/>
          <w:lang w:val="bg-BG"/>
        </w:rPr>
      </w:pPr>
      <w:r w:rsidRPr="00464EE6">
        <w:rPr>
          <w:rFonts w:ascii="Times New Roman" w:hAnsi="Times New Roman"/>
          <w:b/>
          <w:sz w:val="36"/>
          <w:szCs w:val="36"/>
          <w:lang w:val="bg-BG"/>
        </w:rPr>
        <w:t>М  О  Т  И  В  И</w:t>
      </w:r>
    </w:p>
    <w:p w14:paraId="1CDC1A62" w14:textId="77777777" w:rsidR="00AD087A" w:rsidRPr="00464EE6" w:rsidRDefault="00AD087A">
      <w:pPr>
        <w:jc w:val="center"/>
        <w:rPr>
          <w:rFonts w:ascii="Times New Roman" w:hAnsi="Times New Roman"/>
          <w:b/>
          <w:sz w:val="28"/>
          <w:szCs w:val="28"/>
          <w:lang w:val="bg-BG"/>
        </w:rPr>
      </w:pPr>
    </w:p>
    <w:p w14:paraId="42ECDA66" w14:textId="5F88A08F" w:rsidR="00AD087A" w:rsidRPr="008630EC" w:rsidRDefault="00AD087A" w:rsidP="00E522E9">
      <w:pPr>
        <w:spacing w:line="288" w:lineRule="auto"/>
        <w:jc w:val="center"/>
        <w:rPr>
          <w:rFonts w:ascii="Times New Roman" w:hAnsi="Times New Roman"/>
          <w:b/>
          <w:smallCaps/>
          <w:sz w:val="28"/>
          <w:szCs w:val="28"/>
          <w:lang w:val="en-US"/>
        </w:rPr>
      </w:pPr>
      <w:r w:rsidRPr="00464EE6">
        <w:rPr>
          <w:rFonts w:ascii="Times New Roman" w:hAnsi="Times New Roman"/>
          <w:b/>
          <w:smallCaps/>
          <w:sz w:val="28"/>
          <w:szCs w:val="28"/>
          <w:lang w:val="bg-BG"/>
        </w:rPr>
        <w:t xml:space="preserve">към проекта на Закон </w:t>
      </w:r>
      <w:r w:rsidRPr="008630EC">
        <w:rPr>
          <w:rFonts w:ascii="Times New Roman" w:hAnsi="Times New Roman"/>
          <w:b/>
          <w:smallCaps/>
          <w:sz w:val="28"/>
          <w:szCs w:val="28"/>
          <w:lang w:val="bg-BG"/>
        </w:rPr>
        <w:t xml:space="preserve">за </w:t>
      </w:r>
      <w:r w:rsidR="008630EC" w:rsidRPr="008630EC">
        <w:rPr>
          <w:rFonts w:ascii="Times New Roman" w:hAnsi="Times New Roman" w:hint="eastAsia"/>
          <w:b/>
          <w:smallCaps/>
          <w:sz w:val="28"/>
          <w:szCs w:val="28"/>
          <w:lang w:val="bg-BG"/>
        </w:rPr>
        <w:t>изменение</w:t>
      </w:r>
      <w:r w:rsidR="008630EC" w:rsidRPr="008630EC">
        <w:rPr>
          <w:rFonts w:ascii="Times New Roman" w:hAnsi="Times New Roman"/>
          <w:b/>
          <w:smallCaps/>
          <w:sz w:val="28"/>
          <w:szCs w:val="28"/>
          <w:lang w:val="bg-BG"/>
        </w:rPr>
        <w:t xml:space="preserve"> </w:t>
      </w:r>
      <w:r w:rsidR="008630EC" w:rsidRPr="008630EC">
        <w:rPr>
          <w:rFonts w:ascii="Times New Roman" w:hAnsi="Times New Roman" w:hint="eastAsia"/>
          <w:b/>
          <w:smallCaps/>
          <w:sz w:val="28"/>
          <w:szCs w:val="28"/>
          <w:lang w:val="bg-BG"/>
        </w:rPr>
        <w:t>и</w:t>
      </w:r>
      <w:r w:rsidR="008630EC" w:rsidRPr="008630EC">
        <w:rPr>
          <w:rFonts w:ascii="Times New Roman" w:hAnsi="Times New Roman"/>
          <w:b/>
          <w:smallCaps/>
          <w:sz w:val="28"/>
          <w:szCs w:val="28"/>
          <w:lang w:val="bg-BG"/>
        </w:rPr>
        <w:t xml:space="preserve"> </w:t>
      </w:r>
      <w:r w:rsidR="008630EC" w:rsidRPr="008630EC">
        <w:rPr>
          <w:rFonts w:ascii="Times New Roman" w:hAnsi="Times New Roman" w:hint="eastAsia"/>
          <w:b/>
          <w:smallCaps/>
          <w:sz w:val="28"/>
          <w:szCs w:val="28"/>
          <w:lang w:val="bg-BG"/>
        </w:rPr>
        <w:t>допълнение</w:t>
      </w:r>
      <w:r w:rsidR="008630EC" w:rsidRPr="008630EC">
        <w:rPr>
          <w:rFonts w:ascii="Times New Roman" w:hAnsi="Times New Roman"/>
          <w:b/>
          <w:smallCaps/>
          <w:sz w:val="28"/>
          <w:szCs w:val="28"/>
          <w:lang w:val="bg-BG"/>
        </w:rPr>
        <w:t xml:space="preserve"> </w:t>
      </w:r>
      <w:r w:rsidR="008630EC" w:rsidRPr="008630EC">
        <w:rPr>
          <w:rFonts w:ascii="Times New Roman" w:hAnsi="Times New Roman" w:hint="eastAsia"/>
          <w:b/>
          <w:smallCaps/>
          <w:sz w:val="28"/>
          <w:szCs w:val="28"/>
          <w:lang w:val="bg-BG"/>
        </w:rPr>
        <w:t>на</w:t>
      </w:r>
      <w:r w:rsidR="008630EC" w:rsidRPr="008630EC">
        <w:rPr>
          <w:rFonts w:hint="eastAsia"/>
          <w:smallCaps/>
        </w:rPr>
        <w:t xml:space="preserve"> </w:t>
      </w:r>
      <w:proofErr w:type="spellStart"/>
      <w:r w:rsidR="008630EC" w:rsidRPr="008630EC">
        <w:rPr>
          <w:rFonts w:ascii="Times New Roman" w:hAnsi="Times New Roman"/>
          <w:b/>
          <w:smallCaps/>
          <w:sz w:val="28"/>
          <w:szCs w:val="28"/>
          <w:lang w:val="bg-BG"/>
        </w:rPr>
        <w:t>Законa</w:t>
      </w:r>
      <w:proofErr w:type="spellEnd"/>
      <w:r w:rsidR="008630EC" w:rsidRPr="008630EC">
        <w:rPr>
          <w:rFonts w:ascii="Times New Roman" w:hAnsi="Times New Roman"/>
          <w:b/>
          <w:smallCaps/>
          <w:sz w:val="28"/>
          <w:szCs w:val="28"/>
          <w:lang w:val="bg-BG"/>
        </w:rPr>
        <w:t xml:space="preserve"> </w:t>
      </w:r>
      <w:r w:rsidR="008630EC" w:rsidRPr="008630EC">
        <w:rPr>
          <w:rFonts w:ascii="Times New Roman" w:hAnsi="Times New Roman" w:hint="eastAsia"/>
          <w:b/>
          <w:smallCaps/>
          <w:sz w:val="28"/>
          <w:szCs w:val="28"/>
          <w:lang w:val="bg-BG"/>
        </w:rPr>
        <w:t>за</w:t>
      </w:r>
      <w:r w:rsidR="008630EC" w:rsidRPr="008630EC">
        <w:rPr>
          <w:rFonts w:ascii="Times New Roman" w:hAnsi="Times New Roman"/>
          <w:b/>
          <w:smallCaps/>
          <w:sz w:val="28"/>
          <w:szCs w:val="28"/>
          <w:lang w:val="bg-BG"/>
        </w:rPr>
        <w:t xml:space="preserve"> </w:t>
      </w:r>
      <w:r w:rsidR="008630EC" w:rsidRPr="008630EC">
        <w:rPr>
          <w:rFonts w:ascii="Times New Roman" w:hAnsi="Times New Roman" w:hint="eastAsia"/>
          <w:b/>
          <w:smallCaps/>
          <w:sz w:val="28"/>
          <w:szCs w:val="28"/>
          <w:lang w:val="bg-BG"/>
        </w:rPr>
        <w:t>дейността</w:t>
      </w:r>
      <w:r w:rsidR="008630EC" w:rsidRPr="008630EC">
        <w:rPr>
          <w:rFonts w:ascii="Times New Roman" w:hAnsi="Times New Roman"/>
          <w:b/>
          <w:smallCaps/>
          <w:sz w:val="28"/>
          <w:szCs w:val="28"/>
          <w:lang w:val="bg-BG"/>
        </w:rPr>
        <w:t xml:space="preserve"> </w:t>
      </w:r>
      <w:r w:rsidR="008630EC" w:rsidRPr="008630EC">
        <w:rPr>
          <w:rFonts w:ascii="Times New Roman" w:hAnsi="Times New Roman" w:hint="eastAsia"/>
          <w:b/>
          <w:smallCaps/>
          <w:sz w:val="28"/>
          <w:szCs w:val="28"/>
          <w:lang w:val="bg-BG"/>
        </w:rPr>
        <w:t>на</w:t>
      </w:r>
      <w:r w:rsidR="008630EC" w:rsidRPr="008630EC">
        <w:rPr>
          <w:rFonts w:ascii="Times New Roman" w:hAnsi="Times New Roman"/>
          <w:b/>
          <w:smallCaps/>
          <w:sz w:val="28"/>
          <w:szCs w:val="28"/>
          <w:lang w:val="bg-BG"/>
        </w:rPr>
        <w:t xml:space="preserve"> </w:t>
      </w:r>
      <w:r w:rsidR="008630EC" w:rsidRPr="008630EC">
        <w:rPr>
          <w:rFonts w:ascii="Times New Roman" w:hAnsi="Times New Roman" w:hint="eastAsia"/>
          <w:b/>
          <w:smallCaps/>
          <w:sz w:val="28"/>
          <w:szCs w:val="28"/>
          <w:lang w:val="bg-BG"/>
        </w:rPr>
        <w:t>колективните</w:t>
      </w:r>
      <w:r w:rsidR="008630EC" w:rsidRPr="008630EC">
        <w:rPr>
          <w:rFonts w:ascii="Times New Roman" w:hAnsi="Times New Roman"/>
          <w:b/>
          <w:smallCaps/>
          <w:sz w:val="28"/>
          <w:szCs w:val="28"/>
          <w:lang w:val="bg-BG"/>
        </w:rPr>
        <w:t xml:space="preserve"> </w:t>
      </w:r>
      <w:r w:rsidR="008630EC" w:rsidRPr="008630EC">
        <w:rPr>
          <w:rFonts w:ascii="Times New Roman" w:hAnsi="Times New Roman" w:hint="eastAsia"/>
          <w:b/>
          <w:smallCaps/>
          <w:sz w:val="28"/>
          <w:szCs w:val="28"/>
          <w:lang w:val="bg-BG"/>
        </w:rPr>
        <w:t>инвестиционни</w:t>
      </w:r>
      <w:r w:rsidR="008630EC" w:rsidRPr="008630EC">
        <w:rPr>
          <w:rFonts w:ascii="Times New Roman" w:hAnsi="Times New Roman"/>
          <w:b/>
          <w:smallCaps/>
          <w:sz w:val="28"/>
          <w:szCs w:val="28"/>
          <w:lang w:val="bg-BG"/>
        </w:rPr>
        <w:t xml:space="preserve"> </w:t>
      </w:r>
      <w:r w:rsidR="008630EC" w:rsidRPr="008630EC">
        <w:rPr>
          <w:rFonts w:ascii="Times New Roman" w:hAnsi="Times New Roman" w:hint="eastAsia"/>
          <w:b/>
          <w:smallCaps/>
          <w:sz w:val="28"/>
          <w:szCs w:val="28"/>
          <w:lang w:val="bg-BG"/>
        </w:rPr>
        <w:t>схеми</w:t>
      </w:r>
      <w:r w:rsidR="008630EC" w:rsidRPr="008630EC">
        <w:rPr>
          <w:rFonts w:ascii="Times New Roman" w:hAnsi="Times New Roman"/>
          <w:b/>
          <w:smallCaps/>
          <w:sz w:val="28"/>
          <w:szCs w:val="28"/>
          <w:lang w:val="bg-BG"/>
        </w:rPr>
        <w:t xml:space="preserve"> </w:t>
      </w:r>
      <w:r w:rsidR="008630EC" w:rsidRPr="008630EC">
        <w:rPr>
          <w:rFonts w:ascii="Times New Roman" w:hAnsi="Times New Roman" w:hint="eastAsia"/>
          <w:b/>
          <w:smallCaps/>
          <w:sz w:val="28"/>
          <w:szCs w:val="28"/>
          <w:lang w:val="bg-BG"/>
        </w:rPr>
        <w:t>и</w:t>
      </w:r>
      <w:r w:rsidR="008630EC" w:rsidRPr="008630EC">
        <w:rPr>
          <w:rFonts w:ascii="Times New Roman" w:hAnsi="Times New Roman"/>
          <w:b/>
          <w:smallCaps/>
          <w:sz w:val="28"/>
          <w:szCs w:val="28"/>
          <w:lang w:val="bg-BG"/>
        </w:rPr>
        <w:t xml:space="preserve"> </w:t>
      </w:r>
      <w:r w:rsidR="008630EC" w:rsidRPr="008630EC">
        <w:rPr>
          <w:rFonts w:ascii="Times New Roman" w:hAnsi="Times New Roman" w:hint="eastAsia"/>
          <w:b/>
          <w:smallCaps/>
          <w:sz w:val="28"/>
          <w:szCs w:val="28"/>
          <w:lang w:val="bg-BG"/>
        </w:rPr>
        <w:t>на</w:t>
      </w:r>
      <w:r w:rsidR="008630EC" w:rsidRPr="008630EC">
        <w:rPr>
          <w:rFonts w:ascii="Times New Roman" w:hAnsi="Times New Roman"/>
          <w:b/>
          <w:smallCaps/>
          <w:sz w:val="28"/>
          <w:szCs w:val="28"/>
          <w:lang w:val="bg-BG"/>
        </w:rPr>
        <w:t xml:space="preserve"> </w:t>
      </w:r>
      <w:r w:rsidR="008630EC" w:rsidRPr="008630EC">
        <w:rPr>
          <w:rFonts w:ascii="Times New Roman" w:hAnsi="Times New Roman" w:hint="eastAsia"/>
          <w:b/>
          <w:smallCaps/>
          <w:sz w:val="28"/>
          <w:szCs w:val="28"/>
          <w:lang w:val="bg-BG"/>
        </w:rPr>
        <w:t>други</w:t>
      </w:r>
      <w:r w:rsidR="008630EC" w:rsidRPr="008630EC">
        <w:rPr>
          <w:rFonts w:ascii="Times New Roman" w:hAnsi="Times New Roman"/>
          <w:b/>
          <w:smallCaps/>
          <w:sz w:val="28"/>
          <w:szCs w:val="28"/>
          <w:lang w:val="bg-BG"/>
        </w:rPr>
        <w:t xml:space="preserve"> </w:t>
      </w:r>
      <w:r w:rsidR="008630EC" w:rsidRPr="008630EC">
        <w:rPr>
          <w:rFonts w:ascii="Times New Roman" w:hAnsi="Times New Roman" w:hint="eastAsia"/>
          <w:b/>
          <w:smallCaps/>
          <w:sz w:val="28"/>
          <w:szCs w:val="28"/>
          <w:lang w:val="bg-BG"/>
        </w:rPr>
        <w:t>предприятия</w:t>
      </w:r>
      <w:r w:rsidR="008630EC" w:rsidRPr="008630EC">
        <w:rPr>
          <w:rFonts w:ascii="Times New Roman" w:hAnsi="Times New Roman"/>
          <w:b/>
          <w:smallCaps/>
          <w:sz w:val="28"/>
          <w:szCs w:val="28"/>
          <w:lang w:val="bg-BG"/>
        </w:rPr>
        <w:t xml:space="preserve"> </w:t>
      </w:r>
      <w:r w:rsidR="008630EC" w:rsidRPr="008630EC">
        <w:rPr>
          <w:rFonts w:ascii="Times New Roman" w:hAnsi="Times New Roman" w:hint="eastAsia"/>
          <w:b/>
          <w:smallCaps/>
          <w:sz w:val="28"/>
          <w:szCs w:val="28"/>
          <w:lang w:val="bg-BG"/>
        </w:rPr>
        <w:t>за</w:t>
      </w:r>
      <w:r w:rsidR="008630EC" w:rsidRPr="008630EC">
        <w:rPr>
          <w:rFonts w:ascii="Times New Roman" w:hAnsi="Times New Roman"/>
          <w:b/>
          <w:smallCaps/>
          <w:sz w:val="28"/>
          <w:szCs w:val="28"/>
          <w:lang w:val="bg-BG"/>
        </w:rPr>
        <w:t xml:space="preserve"> </w:t>
      </w:r>
      <w:r w:rsidR="008630EC" w:rsidRPr="008630EC">
        <w:rPr>
          <w:rFonts w:ascii="Times New Roman" w:hAnsi="Times New Roman" w:hint="eastAsia"/>
          <w:b/>
          <w:smallCaps/>
          <w:sz w:val="28"/>
          <w:szCs w:val="28"/>
          <w:lang w:val="bg-BG"/>
        </w:rPr>
        <w:t>колективно</w:t>
      </w:r>
      <w:r w:rsidR="008630EC" w:rsidRPr="008630EC">
        <w:rPr>
          <w:rFonts w:ascii="Times New Roman" w:hAnsi="Times New Roman"/>
          <w:b/>
          <w:smallCaps/>
          <w:sz w:val="28"/>
          <w:szCs w:val="28"/>
          <w:lang w:val="bg-BG"/>
        </w:rPr>
        <w:t xml:space="preserve"> </w:t>
      </w:r>
      <w:r w:rsidR="008630EC" w:rsidRPr="008630EC">
        <w:rPr>
          <w:rFonts w:ascii="Times New Roman" w:hAnsi="Times New Roman" w:hint="eastAsia"/>
          <w:b/>
          <w:smallCaps/>
          <w:sz w:val="28"/>
          <w:szCs w:val="28"/>
          <w:lang w:val="bg-BG"/>
        </w:rPr>
        <w:t>инвестиране</w:t>
      </w:r>
    </w:p>
    <w:p w14:paraId="138348C2" w14:textId="77777777" w:rsidR="00AD087A" w:rsidRPr="00C91335" w:rsidRDefault="00AD087A" w:rsidP="00AF32C1">
      <w:pPr>
        <w:spacing w:line="360" w:lineRule="auto"/>
        <w:ind w:firstLine="1134"/>
        <w:jc w:val="both"/>
        <w:rPr>
          <w:rFonts w:ascii="Times New Roman" w:hAnsi="Times New Roman"/>
          <w:b/>
          <w:sz w:val="32"/>
          <w:szCs w:val="32"/>
          <w:lang w:val="bg-BG"/>
        </w:rPr>
      </w:pPr>
    </w:p>
    <w:p w14:paraId="5686E260" w14:textId="77777777" w:rsidR="008630EC" w:rsidRPr="008630EC" w:rsidRDefault="008630EC" w:rsidP="00AF32C1">
      <w:pPr>
        <w:spacing w:line="360" w:lineRule="auto"/>
        <w:ind w:firstLine="1134"/>
        <w:jc w:val="both"/>
        <w:rPr>
          <w:rFonts w:ascii="Times New Roman" w:eastAsia="Calibri" w:hAnsi="Times New Roman"/>
          <w:bCs/>
          <w:sz w:val="28"/>
          <w:szCs w:val="28"/>
          <w:lang w:val="bg-BG"/>
        </w:rPr>
      </w:pPr>
      <w:r w:rsidRPr="008630EC">
        <w:rPr>
          <w:rFonts w:ascii="Times New Roman" w:eastAsia="Calibri" w:hAnsi="Times New Roman"/>
          <w:b/>
          <w:bCs/>
          <w:sz w:val="28"/>
          <w:szCs w:val="28"/>
          <w:lang w:val="bg-BG"/>
        </w:rPr>
        <w:t>I. Цели, които се поставят с предложения законопроект за изменение и допълнение на Закон</w:t>
      </w:r>
      <w:r w:rsidRPr="008630EC">
        <w:rPr>
          <w:rFonts w:ascii="Times New Roman" w:eastAsia="Calibri" w:hAnsi="Times New Roman"/>
          <w:b/>
          <w:bCs/>
          <w:sz w:val="28"/>
          <w:szCs w:val="28"/>
          <w:lang w:val="en-US"/>
        </w:rPr>
        <w:t>a</w:t>
      </w:r>
      <w:r w:rsidRPr="008630EC">
        <w:rPr>
          <w:rFonts w:ascii="Times New Roman" w:eastAsia="Calibri" w:hAnsi="Times New Roman"/>
          <w:b/>
          <w:bCs/>
          <w:sz w:val="28"/>
          <w:szCs w:val="28"/>
          <w:lang w:val="bg-BG"/>
        </w:rPr>
        <w:t xml:space="preserve"> за дейността на колективните инвестиционни схеми и на други предприятия за колективно инвестиране</w:t>
      </w:r>
    </w:p>
    <w:p w14:paraId="0FA76661" w14:textId="77777777" w:rsidR="008630EC" w:rsidRPr="008630EC" w:rsidRDefault="008630EC" w:rsidP="00AF32C1">
      <w:pPr>
        <w:spacing w:line="360" w:lineRule="auto"/>
        <w:ind w:firstLine="1134"/>
        <w:jc w:val="both"/>
        <w:rPr>
          <w:rFonts w:ascii="Times New Roman" w:eastAsia="Calibri" w:hAnsi="Times New Roman"/>
          <w:bCs/>
          <w:sz w:val="28"/>
          <w:szCs w:val="28"/>
          <w:lang w:val="bg-BG"/>
        </w:rPr>
      </w:pPr>
      <w:r w:rsidRPr="008630EC">
        <w:rPr>
          <w:rFonts w:ascii="Times New Roman" w:eastAsia="Calibri" w:hAnsi="Times New Roman"/>
          <w:bCs/>
          <w:sz w:val="28"/>
          <w:szCs w:val="28"/>
          <w:lang w:val="bg-BG"/>
        </w:rPr>
        <w:t>С предложения Законопроект за изменение и допълнение на Закон</w:t>
      </w:r>
      <w:r w:rsidRPr="008630EC">
        <w:rPr>
          <w:rFonts w:ascii="Times New Roman" w:eastAsia="Calibri" w:hAnsi="Times New Roman"/>
          <w:bCs/>
          <w:sz w:val="28"/>
          <w:szCs w:val="28"/>
          <w:lang w:val="en-US"/>
        </w:rPr>
        <w:t>a</w:t>
      </w:r>
      <w:r w:rsidRPr="008630EC">
        <w:rPr>
          <w:rFonts w:ascii="Times New Roman" w:eastAsia="Calibri" w:hAnsi="Times New Roman"/>
          <w:bCs/>
          <w:sz w:val="28"/>
          <w:szCs w:val="28"/>
          <w:lang w:val="bg-BG"/>
        </w:rPr>
        <w:t xml:space="preserve"> за дейността на колективните инвестиционни схеми и на други предприятия за колективно инвестиране се предприемат мерки по прилагането, свързани със следните законодателни актове от правото на Европейския съюз:</w:t>
      </w:r>
    </w:p>
    <w:p w14:paraId="784230B4" w14:textId="33CEE542" w:rsidR="008630EC" w:rsidRPr="008630EC" w:rsidRDefault="008630EC" w:rsidP="00AF32C1">
      <w:pPr>
        <w:numPr>
          <w:ilvl w:val="0"/>
          <w:numId w:val="7"/>
        </w:numPr>
        <w:spacing w:line="360" w:lineRule="auto"/>
        <w:ind w:left="0" w:firstLine="1134"/>
        <w:contextualSpacing/>
        <w:jc w:val="both"/>
        <w:rPr>
          <w:rFonts w:ascii="Times New Roman" w:eastAsia="Calibri" w:hAnsi="Times New Roman"/>
          <w:bCs/>
          <w:sz w:val="28"/>
          <w:szCs w:val="28"/>
          <w:lang w:val="bg-BG"/>
        </w:rPr>
      </w:pPr>
      <w:r w:rsidRPr="008630EC">
        <w:rPr>
          <w:rFonts w:ascii="Times New Roman" w:eastAsia="Calibri" w:hAnsi="Times New Roman"/>
          <w:bCs/>
          <w:sz w:val="28"/>
          <w:szCs w:val="28"/>
          <w:lang w:val="bg-BG"/>
        </w:rPr>
        <w:t>Директива (ЕС) 2024/927 на Европейския парламент и на Съвета от 13</w:t>
      </w:r>
      <w:r w:rsidR="00C91335">
        <w:rPr>
          <w:rFonts w:ascii="Times New Roman" w:eastAsia="Calibri" w:hAnsi="Times New Roman"/>
          <w:bCs/>
          <w:sz w:val="28"/>
          <w:szCs w:val="28"/>
          <w:lang w:val="bg-BG"/>
        </w:rPr>
        <w:t xml:space="preserve"> </w:t>
      </w:r>
      <w:r w:rsidRPr="008630EC">
        <w:rPr>
          <w:rFonts w:ascii="Times New Roman" w:eastAsia="Calibri" w:hAnsi="Times New Roman"/>
          <w:bCs/>
          <w:sz w:val="28"/>
          <w:szCs w:val="28"/>
          <w:lang w:val="bg-BG"/>
        </w:rPr>
        <w:t>март 2024 година за изменение на директиви</w:t>
      </w:r>
      <w:r w:rsidR="00365998">
        <w:rPr>
          <w:rFonts w:ascii="Times New Roman" w:eastAsia="Calibri" w:hAnsi="Times New Roman"/>
          <w:bCs/>
          <w:sz w:val="28"/>
          <w:szCs w:val="28"/>
          <w:lang w:val="bg-BG"/>
        </w:rPr>
        <w:t xml:space="preserve"> </w:t>
      </w:r>
      <w:r w:rsidRPr="008630EC">
        <w:rPr>
          <w:rFonts w:ascii="Times New Roman" w:eastAsia="Calibri" w:hAnsi="Times New Roman"/>
          <w:bCs/>
          <w:sz w:val="28"/>
          <w:szCs w:val="28"/>
          <w:lang w:val="bg-BG"/>
        </w:rPr>
        <w:t xml:space="preserve">2011/61/ЕС </w:t>
      </w:r>
      <w:r w:rsidR="00365998">
        <w:rPr>
          <w:rFonts w:ascii="Times New Roman" w:eastAsia="Calibri" w:hAnsi="Times New Roman"/>
          <w:bCs/>
          <w:sz w:val="28"/>
          <w:szCs w:val="28"/>
          <w:lang w:val="bg-BG"/>
        </w:rPr>
        <w:br/>
      </w:r>
      <w:r w:rsidRPr="008630EC">
        <w:rPr>
          <w:rFonts w:ascii="Times New Roman" w:eastAsia="Calibri" w:hAnsi="Times New Roman"/>
          <w:bCs/>
          <w:sz w:val="28"/>
          <w:szCs w:val="28"/>
          <w:lang w:val="bg-BG"/>
        </w:rPr>
        <w:t>и</w:t>
      </w:r>
      <w:r w:rsidR="00365998">
        <w:rPr>
          <w:rFonts w:ascii="Times New Roman" w:eastAsia="Calibri" w:hAnsi="Times New Roman"/>
          <w:bCs/>
          <w:sz w:val="28"/>
          <w:szCs w:val="28"/>
          <w:lang w:val="bg-BG"/>
        </w:rPr>
        <w:t xml:space="preserve"> </w:t>
      </w:r>
      <w:r w:rsidRPr="008630EC">
        <w:rPr>
          <w:rFonts w:ascii="Times New Roman" w:eastAsia="Calibri" w:hAnsi="Times New Roman"/>
          <w:bCs/>
          <w:sz w:val="28"/>
          <w:szCs w:val="28"/>
          <w:lang w:val="bg-BG"/>
        </w:rPr>
        <w:t>2009/65/ЕО по отношение на договореностите за делегиране, управлението на ликвидния риск, надзорната отчетност, предоставянето на депозитарни услуги и услуги по отговорно пазене и предоставянето на заеми от алтернативни инвестиционни фондове (Директива (ЕС) 2024/927);</w:t>
      </w:r>
    </w:p>
    <w:p w14:paraId="1E535F8E" w14:textId="77777777" w:rsidR="008630EC" w:rsidRPr="008630EC" w:rsidRDefault="008630EC" w:rsidP="00AF32C1">
      <w:pPr>
        <w:numPr>
          <w:ilvl w:val="0"/>
          <w:numId w:val="7"/>
        </w:numPr>
        <w:spacing w:line="360" w:lineRule="auto"/>
        <w:ind w:left="0" w:firstLine="1134"/>
        <w:contextualSpacing/>
        <w:jc w:val="both"/>
        <w:rPr>
          <w:rFonts w:ascii="Times New Roman" w:eastAsia="Calibri" w:hAnsi="Times New Roman"/>
          <w:bCs/>
          <w:sz w:val="28"/>
          <w:szCs w:val="28"/>
          <w:lang w:val="bg-BG"/>
        </w:rPr>
      </w:pPr>
      <w:r w:rsidRPr="008630EC">
        <w:rPr>
          <w:rFonts w:ascii="Times New Roman" w:hAnsi="Times New Roman"/>
          <w:bCs/>
          <w:sz w:val="28"/>
          <w:szCs w:val="28"/>
          <w:lang w:val="bg-BG"/>
        </w:rPr>
        <w:t>Директива (ЕС) 2024/2811 на Европейския парламент и на Съвета от 23 октомври 2024 година за изменение на Директива 2014/65/ЕС с цел повишаване на привлекателността на публичните капиталови пазари в Съюза за дружествата и улесняване на достъпа до капитал за малките и средните предприятия и за отмяна на Директива 2001/34/ЕО (Директива (ЕС) 2024/2811)</w:t>
      </w:r>
      <w:r w:rsidRPr="008630EC">
        <w:rPr>
          <w:rFonts w:ascii="Times New Roman" w:eastAsia="Calibri" w:hAnsi="Times New Roman"/>
          <w:bCs/>
          <w:sz w:val="28"/>
          <w:szCs w:val="28"/>
          <w:lang w:val="bg-BG"/>
        </w:rPr>
        <w:t>;</w:t>
      </w:r>
    </w:p>
    <w:p w14:paraId="7F858F4B" w14:textId="092559BB" w:rsidR="008630EC" w:rsidRPr="008630EC" w:rsidRDefault="008630EC" w:rsidP="00AF32C1">
      <w:pPr>
        <w:numPr>
          <w:ilvl w:val="0"/>
          <w:numId w:val="7"/>
        </w:numPr>
        <w:spacing w:line="360" w:lineRule="auto"/>
        <w:ind w:left="0" w:firstLine="1134"/>
        <w:contextualSpacing/>
        <w:jc w:val="both"/>
        <w:rPr>
          <w:rFonts w:ascii="Times New Roman" w:hAnsi="Times New Roman"/>
          <w:bCs/>
          <w:sz w:val="28"/>
          <w:szCs w:val="28"/>
          <w:lang w:val="bg-BG"/>
        </w:rPr>
      </w:pPr>
      <w:r w:rsidRPr="008630EC">
        <w:rPr>
          <w:rFonts w:ascii="Times New Roman" w:hAnsi="Times New Roman"/>
          <w:bCs/>
          <w:sz w:val="28"/>
          <w:szCs w:val="28"/>
          <w:lang w:val="bg-BG"/>
        </w:rPr>
        <w:t xml:space="preserve">Регламент (ЕС) 2024/2809 на Европейския парламент и на Съвета от 23 октомври 2024 година за изменение на регламенти </w:t>
      </w:r>
      <w:r w:rsidR="00365998">
        <w:rPr>
          <w:rFonts w:ascii="Times New Roman" w:hAnsi="Times New Roman"/>
          <w:bCs/>
          <w:sz w:val="28"/>
          <w:szCs w:val="28"/>
          <w:lang w:val="bg-BG"/>
        </w:rPr>
        <w:br/>
      </w:r>
      <w:r w:rsidRPr="008630EC">
        <w:rPr>
          <w:rFonts w:ascii="Times New Roman" w:hAnsi="Times New Roman"/>
          <w:bCs/>
          <w:sz w:val="28"/>
          <w:szCs w:val="28"/>
          <w:lang w:val="bg-BG"/>
        </w:rPr>
        <w:t xml:space="preserve">(ЕС) 2017/1129, (ЕС) № 596/2014 и (ЕС) № 600/2014 с цел повишаване на </w:t>
      </w:r>
      <w:r w:rsidRPr="008630EC">
        <w:rPr>
          <w:rFonts w:ascii="Times New Roman" w:hAnsi="Times New Roman"/>
          <w:bCs/>
          <w:sz w:val="28"/>
          <w:szCs w:val="28"/>
          <w:lang w:val="bg-BG"/>
        </w:rPr>
        <w:lastRenderedPageBreak/>
        <w:t>привлекателността на публичните капиталови пазари в Съюза за дружествата и улесняване на достъпа до капитал за малките и средните предприятия</w:t>
      </w:r>
      <w:r w:rsidR="00365998">
        <w:rPr>
          <w:rFonts w:ascii="Times New Roman" w:hAnsi="Times New Roman"/>
          <w:bCs/>
          <w:sz w:val="28"/>
          <w:szCs w:val="28"/>
          <w:lang w:val="bg-BG"/>
        </w:rPr>
        <w:t xml:space="preserve"> </w:t>
      </w:r>
      <w:r w:rsidRPr="008630EC">
        <w:rPr>
          <w:rFonts w:ascii="Times New Roman" w:hAnsi="Times New Roman"/>
          <w:bCs/>
          <w:sz w:val="28"/>
          <w:szCs w:val="28"/>
          <w:lang w:val="bg-BG"/>
        </w:rPr>
        <w:t>(Регламент (ЕС) 2024/2809);</w:t>
      </w:r>
    </w:p>
    <w:p w14:paraId="41D71FBD" w14:textId="46DD829D" w:rsidR="008630EC" w:rsidRPr="008630EC" w:rsidRDefault="008630EC" w:rsidP="00AF32C1">
      <w:pPr>
        <w:numPr>
          <w:ilvl w:val="0"/>
          <w:numId w:val="7"/>
        </w:numPr>
        <w:spacing w:line="360" w:lineRule="auto"/>
        <w:ind w:left="0" w:firstLine="1134"/>
        <w:contextualSpacing/>
        <w:jc w:val="both"/>
        <w:rPr>
          <w:rFonts w:ascii="Times New Roman" w:eastAsia="Calibri" w:hAnsi="Times New Roman"/>
          <w:bCs/>
          <w:sz w:val="28"/>
          <w:szCs w:val="28"/>
          <w:lang w:val="bg-BG"/>
        </w:rPr>
      </w:pPr>
      <w:r w:rsidRPr="008630EC">
        <w:rPr>
          <w:rFonts w:ascii="Times New Roman" w:eastAsia="Calibri" w:hAnsi="Times New Roman"/>
          <w:bCs/>
          <w:sz w:val="28"/>
          <w:szCs w:val="28"/>
          <w:lang w:val="bg-BG"/>
        </w:rPr>
        <w:t xml:space="preserve">Делегиран Регламент (ЕС) 2023/2830 на Комисията от </w:t>
      </w:r>
      <w:r w:rsidR="00365998">
        <w:rPr>
          <w:rFonts w:ascii="Times New Roman" w:eastAsia="Calibri" w:hAnsi="Times New Roman"/>
          <w:bCs/>
          <w:sz w:val="28"/>
          <w:szCs w:val="28"/>
          <w:lang w:val="bg-BG"/>
        </w:rPr>
        <w:br/>
      </w:r>
      <w:r w:rsidRPr="008630EC">
        <w:rPr>
          <w:rFonts w:ascii="Times New Roman" w:eastAsia="Calibri" w:hAnsi="Times New Roman"/>
          <w:bCs/>
          <w:sz w:val="28"/>
          <w:szCs w:val="28"/>
          <w:lang w:val="bg-BG"/>
        </w:rPr>
        <w:t>17 октомври 2023 година за допълване на Директива 2003/87/ЕО на Европейския парламент и на Съвета чрез определяне на правила относно графика, управлението и други аспекти на търга на квоти за емисии на парникови газове (Делегиран Регламент (ЕС) 2023/2830);</w:t>
      </w:r>
    </w:p>
    <w:p w14:paraId="74E97A49" w14:textId="16C97E96" w:rsidR="008630EC" w:rsidRPr="008630EC" w:rsidRDefault="008630EC" w:rsidP="00AF32C1">
      <w:pPr>
        <w:numPr>
          <w:ilvl w:val="0"/>
          <w:numId w:val="7"/>
        </w:numPr>
        <w:spacing w:line="360" w:lineRule="auto"/>
        <w:ind w:left="0" w:firstLine="1134"/>
        <w:contextualSpacing/>
        <w:jc w:val="both"/>
        <w:rPr>
          <w:rFonts w:ascii="Times New Roman" w:eastAsia="Calibri" w:hAnsi="Times New Roman"/>
          <w:bCs/>
          <w:sz w:val="28"/>
          <w:szCs w:val="28"/>
          <w:lang w:val="bg-BG"/>
        </w:rPr>
      </w:pPr>
      <w:r w:rsidRPr="008630EC">
        <w:rPr>
          <w:rFonts w:ascii="Times New Roman" w:eastAsia="Calibri" w:hAnsi="Times New Roman"/>
          <w:bCs/>
          <w:sz w:val="28"/>
          <w:szCs w:val="28"/>
          <w:lang w:val="bg-BG"/>
        </w:rPr>
        <w:t>Регламент (ЕС) 2025/914 на Европейския парламент и на Съвета от 7</w:t>
      </w:r>
      <w:r w:rsidR="00C91335">
        <w:rPr>
          <w:rFonts w:ascii="Times New Roman" w:eastAsia="Calibri" w:hAnsi="Times New Roman"/>
          <w:bCs/>
          <w:sz w:val="28"/>
          <w:szCs w:val="28"/>
          <w:lang w:val="bg-BG"/>
        </w:rPr>
        <w:t xml:space="preserve"> </w:t>
      </w:r>
      <w:r w:rsidRPr="008630EC">
        <w:rPr>
          <w:rFonts w:ascii="Times New Roman" w:eastAsia="Calibri" w:hAnsi="Times New Roman"/>
          <w:bCs/>
          <w:sz w:val="28"/>
          <w:szCs w:val="28"/>
          <w:lang w:val="bg-BG"/>
        </w:rPr>
        <w:t xml:space="preserve">май 2025 година за изменение на Регламент (ЕС) 2016/1011 по отношение на обхвата на правилата за </w:t>
      </w:r>
      <w:proofErr w:type="spellStart"/>
      <w:r w:rsidRPr="008630EC">
        <w:rPr>
          <w:rFonts w:ascii="Times New Roman" w:eastAsia="Calibri" w:hAnsi="Times New Roman"/>
          <w:bCs/>
          <w:sz w:val="28"/>
          <w:szCs w:val="28"/>
          <w:lang w:val="bg-BG"/>
        </w:rPr>
        <w:t>бенчмарковете</w:t>
      </w:r>
      <w:proofErr w:type="spellEnd"/>
      <w:r w:rsidRPr="008630EC">
        <w:rPr>
          <w:rFonts w:ascii="Times New Roman" w:eastAsia="Calibri" w:hAnsi="Times New Roman"/>
          <w:bCs/>
          <w:sz w:val="28"/>
          <w:szCs w:val="28"/>
          <w:lang w:val="bg-BG"/>
        </w:rPr>
        <w:t>, използването в</w:t>
      </w:r>
      <w:r w:rsidR="00365998">
        <w:rPr>
          <w:rFonts w:ascii="Times New Roman" w:eastAsia="Calibri" w:hAnsi="Times New Roman"/>
          <w:bCs/>
          <w:sz w:val="28"/>
          <w:szCs w:val="28"/>
          <w:lang w:val="bg-BG"/>
        </w:rPr>
        <w:t xml:space="preserve"> </w:t>
      </w:r>
      <w:r w:rsidRPr="008630EC">
        <w:rPr>
          <w:rFonts w:ascii="Times New Roman" w:eastAsia="Calibri" w:hAnsi="Times New Roman"/>
          <w:bCs/>
          <w:sz w:val="28"/>
          <w:szCs w:val="28"/>
          <w:lang w:val="bg-BG"/>
        </w:rPr>
        <w:t xml:space="preserve">Съюза на </w:t>
      </w:r>
      <w:proofErr w:type="spellStart"/>
      <w:r w:rsidRPr="008630EC">
        <w:rPr>
          <w:rFonts w:ascii="Times New Roman" w:eastAsia="Calibri" w:hAnsi="Times New Roman"/>
          <w:bCs/>
          <w:sz w:val="28"/>
          <w:szCs w:val="28"/>
          <w:lang w:val="bg-BG"/>
        </w:rPr>
        <w:t>бенчмаркове</w:t>
      </w:r>
      <w:proofErr w:type="spellEnd"/>
      <w:r w:rsidRPr="008630EC">
        <w:rPr>
          <w:rFonts w:ascii="Times New Roman" w:eastAsia="Calibri" w:hAnsi="Times New Roman"/>
          <w:bCs/>
          <w:sz w:val="28"/>
          <w:szCs w:val="28"/>
          <w:lang w:val="bg-BG"/>
        </w:rPr>
        <w:t>, изготвяни от администратор, намиращ се в</w:t>
      </w:r>
      <w:r w:rsidR="00365998">
        <w:rPr>
          <w:rFonts w:ascii="Times New Roman" w:eastAsia="Calibri" w:hAnsi="Times New Roman"/>
          <w:bCs/>
          <w:sz w:val="28"/>
          <w:szCs w:val="28"/>
          <w:lang w:val="bg-BG"/>
        </w:rPr>
        <w:t xml:space="preserve"> </w:t>
      </w:r>
      <w:r w:rsidRPr="008630EC">
        <w:rPr>
          <w:rFonts w:ascii="Times New Roman" w:eastAsia="Calibri" w:hAnsi="Times New Roman"/>
          <w:bCs/>
          <w:sz w:val="28"/>
          <w:szCs w:val="28"/>
          <w:lang w:val="bg-BG"/>
        </w:rPr>
        <w:t>трета държава, и някои изисквания за докладване.</w:t>
      </w:r>
    </w:p>
    <w:p w14:paraId="3C05408D" w14:textId="77777777" w:rsidR="008630EC" w:rsidRPr="008630EC" w:rsidRDefault="008630EC" w:rsidP="00151081">
      <w:pPr>
        <w:ind w:firstLine="1134"/>
        <w:jc w:val="both"/>
        <w:rPr>
          <w:rFonts w:ascii="Times New Roman" w:eastAsia="Calibri" w:hAnsi="Times New Roman"/>
          <w:bCs/>
          <w:sz w:val="28"/>
          <w:szCs w:val="28"/>
          <w:lang w:val="bg-BG"/>
        </w:rPr>
      </w:pPr>
    </w:p>
    <w:p w14:paraId="308A28C8" w14:textId="77777777" w:rsidR="008630EC" w:rsidRPr="008630EC" w:rsidRDefault="008630EC" w:rsidP="00AF32C1">
      <w:pPr>
        <w:spacing w:line="360" w:lineRule="auto"/>
        <w:ind w:firstLine="1134"/>
        <w:jc w:val="both"/>
        <w:rPr>
          <w:rFonts w:ascii="Times New Roman" w:eastAsia="Calibri" w:hAnsi="Times New Roman"/>
          <w:b/>
          <w:bCs/>
          <w:sz w:val="28"/>
          <w:szCs w:val="28"/>
          <w:lang w:val="bg-BG"/>
        </w:rPr>
      </w:pPr>
      <w:r w:rsidRPr="008630EC">
        <w:rPr>
          <w:rFonts w:ascii="Times New Roman" w:eastAsia="Calibri" w:hAnsi="Times New Roman"/>
          <w:b/>
          <w:bCs/>
          <w:sz w:val="28"/>
          <w:szCs w:val="28"/>
          <w:lang w:val="bg-BG"/>
        </w:rPr>
        <w:t>I</w:t>
      </w:r>
      <w:r w:rsidRPr="008630EC">
        <w:rPr>
          <w:rFonts w:ascii="Times New Roman" w:eastAsia="Calibri" w:hAnsi="Times New Roman"/>
          <w:b/>
          <w:bCs/>
          <w:sz w:val="28"/>
          <w:szCs w:val="28"/>
          <w:lang w:val="en-US"/>
        </w:rPr>
        <w:t>I</w:t>
      </w:r>
      <w:r w:rsidRPr="008630EC">
        <w:rPr>
          <w:rFonts w:ascii="Times New Roman" w:eastAsia="Calibri" w:hAnsi="Times New Roman"/>
          <w:b/>
          <w:bCs/>
          <w:sz w:val="28"/>
          <w:szCs w:val="28"/>
          <w:lang w:val="bg-BG"/>
        </w:rPr>
        <w:t>. Причини за приемането на акт</w:t>
      </w:r>
      <w:r w:rsidRPr="008630EC">
        <w:rPr>
          <w:rFonts w:ascii="Times New Roman" w:eastAsia="Calibri" w:hAnsi="Times New Roman"/>
          <w:b/>
          <w:bCs/>
          <w:sz w:val="28"/>
          <w:szCs w:val="28"/>
          <w:lang w:val="en-US"/>
        </w:rPr>
        <w:t>a</w:t>
      </w:r>
    </w:p>
    <w:p w14:paraId="3F4B460A" w14:textId="77777777" w:rsidR="008630EC" w:rsidRPr="008630EC" w:rsidRDefault="008630EC" w:rsidP="00151081">
      <w:pPr>
        <w:ind w:firstLine="1134"/>
        <w:jc w:val="both"/>
        <w:rPr>
          <w:rFonts w:ascii="Times New Roman" w:eastAsia="Calibri" w:hAnsi="Times New Roman"/>
          <w:b/>
          <w:bCs/>
          <w:sz w:val="28"/>
          <w:szCs w:val="28"/>
          <w:lang w:val="bg-BG"/>
        </w:rPr>
      </w:pPr>
    </w:p>
    <w:p w14:paraId="45CACF1D" w14:textId="77777777" w:rsidR="008630EC" w:rsidRPr="008630EC" w:rsidRDefault="008630EC" w:rsidP="00AF32C1">
      <w:pPr>
        <w:spacing w:line="360" w:lineRule="auto"/>
        <w:ind w:firstLine="1134"/>
        <w:jc w:val="both"/>
        <w:rPr>
          <w:rFonts w:ascii="Times New Roman" w:eastAsia="Calibri" w:hAnsi="Times New Roman"/>
          <w:b/>
          <w:bCs/>
          <w:sz w:val="28"/>
          <w:szCs w:val="28"/>
          <w:lang w:val="bg-BG"/>
        </w:rPr>
      </w:pPr>
      <w:r w:rsidRPr="008630EC">
        <w:rPr>
          <w:rFonts w:ascii="Times New Roman" w:eastAsia="Calibri" w:hAnsi="Times New Roman"/>
          <w:b/>
          <w:bCs/>
          <w:sz w:val="28"/>
          <w:szCs w:val="28"/>
          <w:lang w:val="bg-BG"/>
        </w:rPr>
        <w:t>1. Непълнота на уредбата за извършване на дейност, налагаща въвеждане на изискванията на Директива (ЕС) 2024/927</w:t>
      </w:r>
    </w:p>
    <w:p w14:paraId="10787171" w14:textId="53B4C0D3" w:rsidR="008630EC" w:rsidRPr="008630EC" w:rsidRDefault="008630EC" w:rsidP="00AF32C1">
      <w:pPr>
        <w:spacing w:line="360" w:lineRule="auto"/>
        <w:ind w:firstLine="1134"/>
        <w:jc w:val="both"/>
        <w:rPr>
          <w:rFonts w:ascii="Times New Roman" w:hAnsi="Times New Roman"/>
          <w:b/>
          <w:bCs/>
          <w:sz w:val="28"/>
          <w:szCs w:val="28"/>
          <w:lang w:val="bg-BG"/>
        </w:rPr>
      </w:pPr>
      <w:r w:rsidRPr="008630EC">
        <w:rPr>
          <w:rFonts w:ascii="Times New Roman" w:eastAsia="Calibri" w:hAnsi="Times New Roman"/>
          <w:sz w:val="28"/>
          <w:szCs w:val="28"/>
          <w:lang w:val="bg-BG"/>
        </w:rPr>
        <w:t xml:space="preserve">С оглед </w:t>
      </w:r>
      <w:r w:rsidR="00A12686">
        <w:rPr>
          <w:rFonts w:ascii="Times New Roman" w:eastAsia="Calibri" w:hAnsi="Times New Roman"/>
          <w:sz w:val="28"/>
          <w:szCs w:val="28"/>
          <w:lang w:val="bg-BG"/>
        </w:rPr>
        <w:t xml:space="preserve">на </w:t>
      </w:r>
      <w:r w:rsidRPr="008630EC">
        <w:rPr>
          <w:rFonts w:ascii="Times New Roman" w:eastAsia="Calibri" w:hAnsi="Times New Roman"/>
          <w:sz w:val="28"/>
          <w:szCs w:val="28"/>
          <w:lang w:val="bg-BG"/>
        </w:rPr>
        <w:t xml:space="preserve">въвеждане на изискванията на Директива </w:t>
      </w:r>
      <w:r w:rsidR="00A12686">
        <w:rPr>
          <w:rFonts w:ascii="Times New Roman" w:eastAsia="Calibri" w:hAnsi="Times New Roman"/>
          <w:sz w:val="28"/>
          <w:szCs w:val="28"/>
          <w:lang w:val="bg-BG"/>
        </w:rPr>
        <w:br/>
      </w:r>
      <w:r w:rsidRPr="008630EC">
        <w:rPr>
          <w:rFonts w:ascii="Times New Roman" w:eastAsia="Calibri" w:hAnsi="Times New Roman"/>
          <w:sz w:val="28"/>
          <w:szCs w:val="28"/>
          <w:lang w:val="bg-BG"/>
        </w:rPr>
        <w:t>(ЕС) 2024/927</w:t>
      </w:r>
      <w:r w:rsidRPr="008630EC">
        <w:rPr>
          <w:rFonts w:ascii="Times New Roman" w:eastAsia="Calibri" w:hAnsi="Times New Roman"/>
          <w:bCs/>
          <w:i/>
          <w:sz w:val="28"/>
          <w:szCs w:val="28"/>
          <w:lang w:val="bg-BG"/>
        </w:rPr>
        <w:t xml:space="preserve"> </w:t>
      </w:r>
      <w:r w:rsidRPr="008630EC">
        <w:rPr>
          <w:rFonts w:ascii="Times New Roman" w:eastAsia="Calibri" w:hAnsi="Times New Roman"/>
          <w:sz w:val="28"/>
          <w:szCs w:val="28"/>
          <w:lang w:val="bg-BG"/>
        </w:rPr>
        <w:t xml:space="preserve">е необходимо да бъдат приети изменения и допълнения в Закона за дейността на колективните инвестиционни схеми и на други предприятия за колективно инвестиране </w:t>
      </w:r>
      <w:r w:rsidRPr="008630EC">
        <w:rPr>
          <w:rFonts w:ascii="Times New Roman" w:eastAsia="Calibri" w:hAnsi="Times New Roman"/>
          <w:b/>
          <w:sz w:val="28"/>
          <w:szCs w:val="28"/>
          <w:lang w:val="bg-BG"/>
        </w:rPr>
        <w:t>в срок до 16.04.2026 г.</w:t>
      </w:r>
    </w:p>
    <w:p w14:paraId="77A4B0B9" w14:textId="64CFAA39" w:rsidR="008630EC" w:rsidRPr="008630EC" w:rsidRDefault="008630EC" w:rsidP="00AF32C1">
      <w:pPr>
        <w:spacing w:line="360" w:lineRule="auto"/>
        <w:ind w:firstLine="1134"/>
        <w:jc w:val="both"/>
        <w:rPr>
          <w:rFonts w:ascii="Times New Roman" w:hAnsi="Times New Roman"/>
          <w:bCs/>
          <w:sz w:val="28"/>
          <w:szCs w:val="28"/>
          <w:lang w:val="bg-BG"/>
        </w:rPr>
      </w:pPr>
      <w:r w:rsidRPr="008630EC">
        <w:rPr>
          <w:rFonts w:ascii="Times New Roman" w:hAnsi="Times New Roman"/>
          <w:bCs/>
          <w:sz w:val="28"/>
          <w:szCs w:val="28"/>
          <w:lang w:val="bg-BG"/>
        </w:rPr>
        <w:t>Основните изменения, произтичащи от Директива</w:t>
      </w:r>
      <w:r w:rsidR="00A12686">
        <w:rPr>
          <w:rFonts w:ascii="Times New Roman" w:hAnsi="Times New Roman"/>
          <w:bCs/>
          <w:sz w:val="28"/>
          <w:szCs w:val="28"/>
          <w:lang w:val="bg-BG"/>
        </w:rPr>
        <w:t xml:space="preserve"> </w:t>
      </w:r>
      <w:r w:rsidRPr="008630EC">
        <w:rPr>
          <w:rFonts w:ascii="Times New Roman" w:hAnsi="Times New Roman"/>
          <w:bCs/>
          <w:sz w:val="28"/>
          <w:szCs w:val="28"/>
          <w:lang w:val="bg-BG"/>
        </w:rPr>
        <w:t>2011/61/ЕС</w:t>
      </w:r>
      <w:r w:rsidR="00A12686">
        <w:rPr>
          <w:rFonts w:ascii="Times New Roman" w:hAnsi="Times New Roman"/>
          <w:bCs/>
          <w:sz w:val="28"/>
          <w:szCs w:val="28"/>
          <w:lang w:val="bg-BG"/>
        </w:rPr>
        <w:t>,</w:t>
      </w:r>
      <w:r w:rsidRPr="008630EC">
        <w:rPr>
          <w:rFonts w:ascii="Times New Roman" w:hAnsi="Times New Roman"/>
          <w:bCs/>
          <w:sz w:val="28"/>
          <w:szCs w:val="28"/>
          <w:lang w:val="bg-BG"/>
        </w:rPr>
        <w:t xml:space="preserve"> обхващат предоставянето на услуги (включително на трети лица), лицензирането на ЛУАИФ, делегирането на функции, инструментите за управление на ликвидността, ролята на централните депозитари на ценни книжа</w:t>
      </w:r>
      <w:r w:rsidRPr="008630EC">
        <w:rPr>
          <w:rFonts w:ascii="Times New Roman" w:hAnsi="Times New Roman"/>
          <w:bCs/>
          <w:sz w:val="28"/>
          <w:szCs w:val="28"/>
          <w:lang w:val="en-US"/>
        </w:rPr>
        <w:t xml:space="preserve"> (</w:t>
      </w:r>
      <w:r w:rsidRPr="008630EC">
        <w:rPr>
          <w:rFonts w:ascii="Times New Roman" w:hAnsi="Times New Roman"/>
          <w:bCs/>
          <w:sz w:val="28"/>
          <w:szCs w:val="28"/>
          <w:lang w:val="bg-BG"/>
        </w:rPr>
        <w:t>ЦДЦК</w:t>
      </w:r>
      <w:r w:rsidRPr="008630EC">
        <w:rPr>
          <w:rFonts w:ascii="Times New Roman" w:hAnsi="Times New Roman"/>
          <w:bCs/>
          <w:sz w:val="28"/>
          <w:szCs w:val="28"/>
          <w:lang w:val="en-US"/>
        </w:rPr>
        <w:t>)</w:t>
      </w:r>
      <w:r w:rsidRPr="008630EC">
        <w:rPr>
          <w:rFonts w:ascii="Times New Roman" w:hAnsi="Times New Roman"/>
          <w:bCs/>
          <w:sz w:val="28"/>
          <w:szCs w:val="28"/>
          <w:lang w:val="bg-BG"/>
        </w:rPr>
        <w:t>, предоставянето на заеми от АИФ, режимите за ЛУАИФ установен извън ЕС, както и изискванията за разкриване на информация.</w:t>
      </w:r>
    </w:p>
    <w:p w14:paraId="041C9DA6" w14:textId="01A7C32B" w:rsidR="008630EC" w:rsidRPr="008630EC" w:rsidRDefault="008630EC" w:rsidP="00AF32C1">
      <w:pPr>
        <w:spacing w:line="360" w:lineRule="auto"/>
        <w:ind w:firstLine="1134"/>
        <w:jc w:val="both"/>
        <w:rPr>
          <w:rFonts w:ascii="Times New Roman" w:hAnsi="Times New Roman"/>
          <w:bCs/>
          <w:strike/>
          <w:sz w:val="28"/>
          <w:szCs w:val="28"/>
          <w:lang w:val="bg-BG"/>
        </w:rPr>
      </w:pPr>
      <w:r w:rsidRPr="008630EC">
        <w:rPr>
          <w:rFonts w:ascii="Times New Roman" w:hAnsi="Times New Roman"/>
          <w:bCs/>
          <w:sz w:val="28"/>
          <w:szCs w:val="28"/>
          <w:lang w:val="bg-BG"/>
        </w:rPr>
        <w:lastRenderedPageBreak/>
        <w:t>С цел повишаване на ефективността на дейностите на ЛУАИФ в ЗДКИСДПКИ се разширява обхват</w:t>
      </w:r>
      <w:r w:rsidR="00A12686">
        <w:rPr>
          <w:rFonts w:ascii="Times New Roman" w:hAnsi="Times New Roman"/>
          <w:bCs/>
          <w:sz w:val="28"/>
          <w:szCs w:val="28"/>
          <w:lang w:val="bg-BG"/>
        </w:rPr>
        <w:t>ът</w:t>
      </w:r>
      <w:r w:rsidRPr="008630EC">
        <w:rPr>
          <w:rFonts w:ascii="Times New Roman" w:hAnsi="Times New Roman"/>
          <w:bCs/>
          <w:sz w:val="28"/>
          <w:szCs w:val="28"/>
          <w:lang w:val="bg-BG"/>
        </w:rPr>
        <w:t xml:space="preserve"> на услугите, които се разрешават на ЛУАИФ</w:t>
      </w:r>
      <w:r w:rsidR="00A12686">
        <w:rPr>
          <w:rFonts w:ascii="Times New Roman" w:hAnsi="Times New Roman"/>
          <w:bCs/>
          <w:sz w:val="28"/>
          <w:szCs w:val="28"/>
          <w:lang w:val="bg-BG"/>
        </w:rPr>
        <w:t>,</w:t>
      </w:r>
      <w:r w:rsidRPr="008630EC">
        <w:rPr>
          <w:rFonts w:ascii="Times New Roman" w:hAnsi="Times New Roman"/>
          <w:bCs/>
          <w:sz w:val="28"/>
          <w:szCs w:val="28"/>
          <w:lang w:val="bg-BG"/>
        </w:rPr>
        <w:t xml:space="preserve"> като се включват следните дейности: администриране на </w:t>
      </w:r>
      <w:proofErr w:type="spellStart"/>
      <w:r w:rsidRPr="008630EC">
        <w:rPr>
          <w:rFonts w:ascii="Times New Roman" w:hAnsi="Times New Roman"/>
          <w:bCs/>
          <w:sz w:val="28"/>
          <w:szCs w:val="28"/>
          <w:lang w:val="bg-BG"/>
        </w:rPr>
        <w:t>бенчмаркове</w:t>
      </w:r>
      <w:proofErr w:type="spellEnd"/>
      <w:r w:rsidRPr="008630EC">
        <w:rPr>
          <w:rFonts w:ascii="Times New Roman" w:hAnsi="Times New Roman"/>
          <w:bCs/>
          <w:sz w:val="28"/>
          <w:szCs w:val="28"/>
          <w:lang w:val="bg-BG"/>
        </w:rPr>
        <w:t xml:space="preserve"> в съответствие с Регламент (ЕС) 2016/1011; обслужване на кредити в съответствие с Директива (ЕС) 2021/2167, както и второстепенни услуги. Във връзка с лицензионния режим на ЛУАИФ при подаване на заявление за лицензиране ЛУАИФ следва да предостави на Комисията за финансов надзор информация относно човешките и техническите ресурси, които използва за изпълнение на своите функции и, когато е приложимо, за упражняване на надзор върху своите подизпълнители. По отношение на услугите, които могат да предоставят на трети лица, ЛУАИФ ще имат право да изпълняват в полза на трети лица същите функции и дейности, които вече изпълняват във връзка с управляваните от тях АИФ, при условие че всеки потенциален конфликт на интереси, породен от предоставянето на тази функция или дейност на трети лица, се управлява по подходящ начин. Тези функции и дейности включват корпоративни услуги, като например човешки ресурси и информационни технологии (ИТ), както и ИТ услуги по управление на портфейл и управление на риска.</w:t>
      </w:r>
    </w:p>
    <w:p w14:paraId="58D8A745" w14:textId="6F236661" w:rsidR="008630EC" w:rsidRPr="008630EC" w:rsidRDefault="008630EC" w:rsidP="00AF32C1">
      <w:pPr>
        <w:spacing w:line="360" w:lineRule="auto"/>
        <w:ind w:firstLine="1134"/>
        <w:jc w:val="both"/>
        <w:rPr>
          <w:rFonts w:ascii="Times New Roman" w:hAnsi="Times New Roman"/>
          <w:bCs/>
          <w:sz w:val="28"/>
          <w:szCs w:val="28"/>
          <w:lang w:val="en-US"/>
        </w:rPr>
      </w:pPr>
      <w:r w:rsidRPr="008630EC">
        <w:rPr>
          <w:rFonts w:ascii="Times New Roman" w:hAnsi="Times New Roman"/>
          <w:bCs/>
          <w:sz w:val="28"/>
          <w:szCs w:val="28"/>
          <w:lang w:val="bg-BG"/>
        </w:rPr>
        <w:t xml:space="preserve">За да могат ЛУАИФ, управляващи АИФ от отворен тип, установени в държава членка, да се справят с натиска за обратно изкупуване при неблагоприятни пазарни условия, от ЛУАИФ се изисква да изберат и да включат в устава или учредителните документи на АИФ поне два инструмента за управление на ликвидността от списък, съдържащ се в приложение към закона. Изключение е предвидено за АИФ, който е лицензиран като фонд на паричния пазар (понастоящем няма такъв тип фондове в България) - тогава има право да избере само един инструмент за управление на ликвидността. Инструментите за управление на ликвидността следва да бъдат подходящи за инвестиционната стратегия, ликвидния профил и политиката на обратно изкупуване на АИФ. ЛУАИФ </w:t>
      </w:r>
      <w:r w:rsidRPr="008630EC">
        <w:rPr>
          <w:rFonts w:ascii="Times New Roman" w:hAnsi="Times New Roman"/>
          <w:bCs/>
          <w:sz w:val="28"/>
          <w:szCs w:val="28"/>
          <w:lang w:val="bg-BG"/>
        </w:rPr>
        <w:lastRenderedPageBreak/>
        <w:t xml:space="preserve">следва да задейства такива инструменти за управление на ликвидността, когато това е необходимо за защита на интересите на инвеститорите </w:t>
      </w:r>
      <w:r w:rsidR="00A12686">
        <w:rPr>
          <w:rFonts w:ascii="Times New Roman" w:hAnsi="Times New Roman"/>
          <w:bCs/>
          <w:sz w:val="28"/>
          <w:szCs w:val="28"/>
          <w:lang w:val="bg-BG"/>
        </w:rPr>
        <w:br/>
      </w:r>
      <w:r w:rsidRPr="008630EC">
        <w:rPr>
          <w:rFonts w:ascii="Times New Roman" w:hAnsi="Times New Roman"/>
          <w:bCs/>
          <w:sz w:val="28"/>
          <w:szCs w:val="28"/>
          <w:lang w:val="bg-BG"/>
        </w:rPr>
        <w:t>на АИФ.</w:t>
      </w:r>
    </w:p>
    <w:p w14:paraId="0A95E43A" w14:textId="382CBAEB" w:rsidR="008630EC" w:rsidRPr="008630EC" w:rsidRDefault="008630EC" w:rsidP="00AF32C1">
      <w:pPr>
        <w:spacing w:line="360" w:lineRule="auto"/>
        <w:ind w:firstLine="1134"/>
        <w:jc w:val="both"/>
        <w:rPr>
          <w:rFonts w:ascii="Times New Roman" w:hAnsi="Times New Roman"/>
          <w:bCs/>
          <w:strike/>
          <w:sz w:val="28"/>
          <w:szCs w:val="28"/>
          <w:lang w:val="bg-BG"/>
        </w:rPr>
      </w:pPr>
      <w:r w:rsidRPr="008630EC">
        <w:rPr>
          <w:rFonts w:ascii="Times New Roman" w:hAnsi="Times New Roman"/>
          <w:bCs/>
          <w:sz w:val="28"/>
          <w:szCs w:val="28"/>
          <w:lang w:val="bg-BG"/>
        </w:rPr>
        <w:t>В допълнение, ЛУАИФ, управляващи АИФ от отворен тип, следва винаги да имат възможност за временно спиране на записването, обратното изкупуване или задействането на механизъм за разделяне на активи при изключителни обстоятелства и на основание защита на интересите на инвеститорите на АИФ. Когато ЛУАИФ вземе решение да спре записването и обратното изкупуване, то следва да уведоми Комисията, когато Република България е държава членка по произход на управителя. Когато ЛУАИФ вземе решение да задейства или деактивира механизъм за разделяне на активи също следва да уведоми Комисията в разумен срок преди задействането или деактивирането на този инструмент за управление на ликвидността. ЛУАИФ следва също така да уведоми Комисията, когато задейства или деактивира всеки друг инструмент за управление на ликвидността по начин, който не е в рамките на обичайния ход на дейността, съгласно учредителните документи на АИФ. Това ще позволи на надзорните органи по-добре да предотвратят потенциалното разпространение на натиска върху ликвидността на пазара като цяло.</w:t>
      </w:r>
    </w:p>
    <w:p w14:paraId="33613699" w14:textId="77777777" w:rsidR="008630EC" w:rsidRPr="008630EC" w:rsidRDefault="008630EC" w:rsidP="00AF32C1">
      <w:pPr>
        <w:spacing w:line="360" w:lineRule="auto"/>
        <w:ind w:firstLine="1134"/>
        <w:jc w:val="both"/>
        <w:rPr>
          <w:rFonts w:ascii="Times New Roman" w:hAnsi="Times New Roman"/>
          <w:bCs/>
          <w:sz w:val="28"/>
          <w:szCs w:val="28"/>
          <w:lang w:val="bg-BG"/>
        </w:rPr>
      </w:pPr>
      <w:r w:rsidRPr="008630EC">
        <w:rPr>
          <w:rFonts w:ascii="Times New Roman" w:hAnsi="Times New Roman"/>
          <w:bCs/>
          <w:sz w:val="28"/>
          <w:szCs w:val="28"/>
          <w:lang w:val="bg-BG"/>
        </w:rPr>
        <w:t>Освен новите разпоредби, приложими за ЛУАИФ, Директива (ЕС) 2024/927 дава допълнителни правомощия на националните компетентни органи. Комисията за финансов надзор може да изисква от ЛУАИФ да активира или деактивира инструмента за спиране на обратното изкупуване и записването на дялове при извънредни обстоятелства, когато това е в интерес на инвеститорите и когато съществуват рискове за защитата на инвеститорите или финансовата стабилност и след консултация с ЛУАИФ.</w:t>
      </w:r>
    </w:p>
    <w:p w14:paraId="337867E5" w14:textId="77777777" w:rsidR="008630EC" w:rsidRPr="008630EC" w:rsidRDefault="008630EC" w:rsidP="00AF32C1">
      <w:pPr>
        <w:spacing w:line="360" w:lineRule="auto"/>
        <w:ind w:firstLine="1134"/>
        <w:jc w:val="both"/>
        <w:rPr>
          <w:rFonts w:ascii="Times New Roman" w:hAnsi="Times New Roman"/>
          <w:bCs/>
          <w:sz w:val="28"/>
          <w:szCs w:val="28"/>
          <w:lang w:val="bg-BG"/>
        </w:rPr>
      </w:pPr>
      <w:r w:rsidRPr="008630EC">
        <w:rPr>
          <w:rFonts w:ascii="Times New Roman" w:hAnsi="Times New Roman"/>
          <w:bCs/>
          <w:sz w:val="28"/>
          <w:szCs w:val="28"/>
          <w:lang w:val="bg-BG"/>
        </w:rPr>
        <w:t>В рамките на произтичащите от Директива (ЕС) 2024/927 изменения в ЗДКИСДПКИ се въвеждат следните опции:</w:t>
      </w:r>
    </w:p>
    <w:p w14:paraId="2D368DA4" w14:textId="35D6AA1F" w:rsidR="008630EC" w:rsidRPr="008630EC" w:rsidRDefault="008630EC" w:rsidP="00AF32C1">
      <w:pPr>
        <w:spacing w:line="360" w:lineRule="auto"/>
        <w:ind w:firstLine="1134"/>
        <w:jc w:val="both"/>
        <w:rPr>
          <w:rFonts w:ascii="Times New Roman" w:hAnsi="Times New Roman"/>
          <w:bCs/>
          <w:sz w:val="28"/>
          <w:szCs w:val="28"/>
          <w:lang w:val="bg-BG"/>
        </w:rPr>
      </w:pPr>
      <w:r w:rsidRPr="008630EC">
        <w:rPr>
          <w:rFonts w:ascii="Times New Roman" w:hAnsi="Times New Roman"/>
          <w:bCs/>
          <w:sz w:val="28"/>
          <w:szCs w:val="28"/>
          <w:lang w:val="bg-BG"/>
        </w:rPr>
        <w:lastRenderedPageBreak/>
        <w:t xml:space="preserve">Съгласно чл. 6, параграф 4 от Директива 2011/61/ЕС и идентичната промяна в чл. 6, параграф 3 от Директива 2009/65/ЕО се разрешава на външен ЛУАИФ да предоставя услуги по администриране на </w:t>
      </w:r>
      <w:proofErr w:type="spellStart"/>
      <w:r w:rsidRPr="008630EC">
        <w:rPr>
          <w:rFonts w:ascii="Times New Roman" w:hAnsi="Times New Roman"/>
          <w:bCs/>
          <w:sz w:val="28"/>
          <w:szCs w:val="28"/>
          <w:lang w:val="bg-BG"/>
        </w:rPr>
        <w:t>бенчмаркове</w:t>
      </w:r>
      <w:proofErr w:type="spellEnd"/>
      <w:r w:rsidRPr="008630EC">
        <w:rPr>
          <w:rFonts w:ascii="Times New Roman" w:hAnsi="Times New Roman"/>
          <w:bCs/>
          <w:sz w:val="28"/>
          <w:szCs w:val="28"/>
          <w:lang w:val="bg-BG"/>
        </w:rPr>
        <w:t xml:space="preserve"> в съответствие с Регламент (EС) 2016/1011, дейности по обслужване на кредити в съответствие с Директива (ЕС) 2021/2167, както и второстепенни услуги:  всяка друга функция или дейност, която вече се изпълнява от ЛУАИФ, съответно управляващо дружество във връзка с управляван от него АИФ, съответно ПКИПЦК, при условие че всеки потенциален конфликт на интереси, породен от предоставянето на тази функция или дейност се управлява.</w:t>
      </w:r>
    </w:p>
    <w:p w14:paraId="20E49111" w14:textId="63ECC7B0" w:rsidR="008630EC" w:rsidRPr="008630EC" w:rsidRDefault="008630EC" w:rsidP="00AF32C1">
      <w:pPr>
        <w:spacing w:line="360" w:lineRule="auto"/>
        <w:ind w:firstLine="1134"/>
        <w:jc w:val="both"/>
        <w:rPr>
          <w:rFonts w:ascii="Times New Roman" w:hAnsi="Times New Roman"/>
          <w:bCs/>
          <w:sz w:val="28"/>
          <w:szCs w:val="28"/>
          <w:lang w:val="bg-BG"/>
        </w:rPr>
      </w:pPr>
      <w:r w:rsidRPr="008630EC">
        <w:rPr>
          <w:rFonts w:ascii="Times New Roman" w:hAnsi="Times New Roman"/>
          <w:bCs/>
          <w:sz w:val="28"/>
          <w:szCs w:val="28"/>
          <w:lang w:val="bg-BG"/>
        </w:rPr>
        <w:t>С директивата се хармонизират на ниво ЕС правилата, приложими за ЛУАИФ, управляващи фондове, които предоставят заеми, за да се подобри управлението на риска в рамките на финансовия пазар и да се повиши прозрачността за инвеститорите. Разпоредбите в директивата, които са приложими за ЛУАИФ, управляващи АИФ, които предоставят заеми, не възпрепятстват държавите членки да установяват национални рамки с по-рестриктивни правила за някои категории АИФ. В</w:t>
      </w:r>
      <w:r w:rsidR="002E1F80">
        <w:rPr>
          <w:rFonts w:ascii="Times New Roman" w:hAnsi="Times New Roman"/>
          <w:bCs/>
          <w:sz w:val="28"/>
          <w:szCs w:val="28"/>
          <w:lang w:val="bg-BG"/>
        </w:rPr>
        <w:t>ъв връзка</w:t>
      </w:r>
      <w:r w:rsidRPr="008630EC">
        <w:rPr>
          <w:rFonts w:ascii="Times New Roman" w:hAnsi="Times New Roman"/>
          <w:bCs/>
          <w:sz w:val="28"/>
          <w:szCs w:val="28"/>
          <w:lang w:val="bg-BG"/>
        </w:rPr>
        <w:t xml:space="preserve"> </w:t>
      </w:r>
      <w:r w:rsidR="002E1F80">
        <w:rPr>
          <w:rFonts w:ascii="Times New Roman" w:hAnsi="Times New Roman"/>
          <w:bCs/>
          <w:sz w:val="28"/>
          <w:szCs w:val="28"/>
          <w:lang w:val="bg-BG"/>
        </w:rPr>
        <w:t>с това</w:t>
      </w:r>
      <w:r w:rsidRPr="008630EC">
        <w:rPr>
          <w:rFonts w:ascii="Times New Roman" w:hAnsi="Times New Roman"/>
          <w:bCs/>
          <w:sz w:val="28"/>
          <w:szCs w:val="28"/>
          <w:lang w:val="bg-BG"/>
        </w:rPr>
        <w:t xml:space="preserve"> съгласно чл. 15, параграф 4ж от Директива 2011/61/ЕС държава членка може да забрани на АИФ, предоставящи заеми, да предоставят заеми на потребители на дребно на нейна територия и може да забрани на АИФ да обслужват кредити, предоставени на такива потребители на нейна територия. След извършен анализ и справка относно практиките на други държави членки, в рамките на което са получени отговори от Европейската асоциация на управителите на активи - EFAMA, Австрия, Хърватия, Кипър, Словения, Люксембург и Румъния, става ясно, че гореизброените, включително Ирландия и Португалия, ще се възползват от опцията в директивата и ще забранят на АИФ да предоставят заеми н</w:t>
      </w:r>
      <w:r w:rsidRPr="008630EC">
        <w:rPr>
          <w:rFonts w:ascii="Times New Roman" w:hAnsi="Times New Roman"/>
          <w:bCs/>
          <w:sz w:val="28"/>
          <w:szCs w:val="28"/>
          <w:lang w:val="en-US"/>
        </w:rPr>
        <w:t>a</w:t>
      </w:r>
      <w:r w:rsidRPr="008630EC">
        <w:rPr>
          <w:rFonts w:ascii="Times New Roman" w:hAnsi="Times New Roman"/>
          <w:bCs/>
          <w:sz w:val="28"/>
          <w:szCs w:val="28"/>
          <w:lang w:val="bg-BG"/>
        </w:rPr>
        <w:t xml:space="preserve"> потребители на дребно. Основните мотиви са свързани със защитата на потребителите на дребно. С оглед </w:t>
      </w:r>
      <w:r w:rsidR="000A36FC">
        <w:rPr>
          <w:rFonts w:ascii="Times New Roman" w:hAnsi="Times New Roman"/>
          <w:bCs/>
          <w:sz w:val="28"/>
          <w:szCs w:val="28"/>
          <w:lang w:val="bg-BG"/>
        </w:rPr>
        <w:t xml:space="preserve">на </w:t>
      </w:r>
      <w:r w:rsidRPr="008630EC">
        <w:rPr>
          <w:rFonts w:ascii="Times New Roman" w:hAnsi="Times New Roman"/>
          <w:bCs/>
          <w:sz w:val="28"/>
          <w:szCs w:val="28"/>
          <w:lang w:val="bg-BG"/>
        </w:rPr>
        <w:t xml:space="preserve">изложеното се предлага Република България да се </w:t>
      </w:r>
      <w:r w:rsidRPr="008630EC">
        <w:rPr>
          <w:rFonts w:ascii="Times New Roman" w:hAnsi="Times New Roman"/>
          <w:bCs/>
          <w:sz w:val="28"/>
          <w:szCs w:val="28"/>
          <w:lang w:val="bg-BG"/>
        </w:rPr>
        <w:lastRenderedPageBreak/>
        <w:t>възползва от посочената опция и да се забрани на АИФ да предоставят заеми на потребители на дребно.</w:t>
      </w:r>
    </w:p>
    <w:p w14:paraId="7B9DED66" w14:textId="307C8CE3" w:rsidR="008630EC" w:rsidRPr="008630EC" w:rsidRDefault="008630EC" w:rsidP="00AF32C1">
      <w:pPr>
        <w:spacing w:line="360" w:lineRule="auto"/>
        <w:ind w:firstLine="1134"/>
        <w:jc w:val="both"/>
        <w:rPr>
          <w:rFonts w:ascii="Times New Roman" w:hAnsi="Times New Roman"/>
          <w:bCs/>
          <w:sz w:val="28"/>
          <w:szCs w:val="28"/>
          <w:lang w:val="bg-BG"/>
        </w:rPr>
      </w:pPr>
      <w:r w:rsidRPr="008630EC">
        <w:rPr>
          <w:rFonts w:ascii="Times New Roman" w:hAnsi="Times New Roman"/>
          <w:bCs/>
          <w:sz w:val="28"/>
          <w:szCs w:val="28"/>
          <w:lang w:val="bg-BG"/>
        </w:rPr>
        <w:t>Също така, съгласно опцията по чл. 21, параграф 5а от Директива 2011/61/ЕС се предлага Република България да се възползва от същата</w:t>
      </w:r>
      <w:r w:rsidR="00617F5B">
        <w:rPr>
          <w:rFonts w:ascii="Times New Roman" w:hAnsi="Times New Roman"/>
          <w:bCs/>
          <w:sz w:val="28"/>
          <w:szCs w:val="28"/>
          <w:lang w:val="bg-BG"/>
        </w:rPr>
        <w:t>,</w:t>
      </w:r>
      <w:r w:rsidRPr="008630EC">
        <w:rPr>
          <w:rFonts w:ascii="Times New Roman" w:hAnsi="Times New Roman"/>
          <w:bCs/>
          <w:sz w:val="28"/>
          <w:szCs w:val="28"/>
          <w:lang w:val="bg-BG"/>
        </w:rPr>
        <w:t xml:space="preserve"> като се дава правомощие на Комисията за финансов надзор да може да разрешава на кредитна институция със седалище на територията на Съюза, която е лицензирана в съответствие с Директива 2006/48/ЕО и установена в друга държава членка, да бъде определена за депозитар, ако са изпълнени определените в закона условия.</w:t>
      </w:r>
    </w:p>
    <w:p w14:paraId="74A9530B" w14:textId="6900A742" w:rsidR="008630EC" w:rsidRPr="008630EC" w:rsidRDefault="008630EC" w:rsidP="00AF32C1">
      <w:pPr>
        <w:spacing w:line="360" w:lineRule="auto"/>
        <w:ind w:firstLine="1134"/>
        <w:jc w:val="both"/>
        <w:rPr>
          <w:rFonts w:ascii="Times New Roman" w:eastAsia="Calibri" w:hAnsi="Times New Roman"/>
          <w:bCs/>
          <w:sz w:val="28"/>
          <w:szCs w:val="28"/>
          <w:lang w:val="bg-BG"/>
        </w:rPr>
      </w:pPr>
      <w:r w:rsidRPr="008630EC">
        <w:rPr>
          <w:rFonts w:ascii="Times New Roman" w:eastAsia="Calibri" w:hAnsi="Times New Roman"/>
          <w:bCs/>
          <w:sz w:val="28"/>
          <w:szCs w:val="28"/>
          <w:lang w:val="bg-BG"/>
        </w:rPr>
        <w:t>В допълнение към вече съществуващите изисквания, информацията, разкривана на инвеститорите преди сключване на договор</w:t>
      </w:r>
      <w:r w:rsidR="00BE5346">
        <w:rPr>
          <w:rFonts w:ascii="Times New Roman" w:eastAsia="Calibri" w:hAnsi="Times New Roman"/>
          <w:bCs/>
          <w:sz w:val="28"/>
          <w:szCs w:val="28"/>
          <w:lang w:val="bg-BG"/>
        </w:rPr>
        <w:t>,</w:t>
      </w:r>
      <w:r w:rsidRPr="008630EC">
        <w:rPr>
          <w:rFonts w:ascii="Times New Roman" w:eastAsia="Calibri" w:hAnsi="Times New Roman"/>
          <w:bCs/>
          <w:sz w:val="28"/>
          <w:szCs w:val="28"/>
          <w:lang w:val="bg-BG"/>
        </w:rPr>
        <w:t xml:space="preserve"> се допълва с описание на възможността и условията за използване на избраните инструменти за управление на ликвидността и списък на таксите, разходите и разноските на ЛУАИФ във връзка с дейността на АИФ, като </w:t>
      </w:r>
      <w:r w:rsidRPr="008630EC">
        <w:rPr>
          <w:rFonts w:ascii="Times New Roman" w:eastAsia="Calibri" w:hAnsi="Times New Roman"/>
          <w:sz w:val="28"/>
          <w:szCs w:val="28"/>
          <w:lang w:val="bg-BG"/>
        </w:rPr>
        <w:t>определена част от информация</w:t>
      </w:r>
      <w:r w:rsidR="00BE5346">
        <w:rPr>
          <w:rFonts w:ascii="Times New Roman" w:eastAsia="Calibri" w:hAnsi="Times New Roman"/>
          <w:sz w:val="28"/>
          <w:szCs w:val="28"/>
          <w:lang w:val="bg-BG"/>
        </w:rPr>
        <w:t>та</w:t>
      </w:r>
      <w:r w:rsidRPr="008630EC">
        <w:rPr>
          <w:rFonts w:ascii="Times New Roman" w:eastAsia="Calibri" w:hAnsi="Times New Roman"/>
          <w:sz w:val="28"/>
          <w:szCs w:val="28"/>
          <w:lang w:val="bg-BG"/>
        </w:rPr>
        <w:t xml:space="preserve"> трябва да бъде предоставена и на Комисията.</w:t>
      </w:r>
    </w:p>
    <w:p w14:paraId="1EE3C9E7" w14:textId="6D7DF5E8" w:rsidR="008630EC" w:rsidRPr="008630EC" w:rsidRDefault="008630EC" w:rsidP="00AF32C1">
      <w:pPr>
        <w:spacing w:line="360" w:lineRule="auto"/>
        <w:ind w:firstLine="1134"/>
        <w:jc w:val="both"/>
        <w:rPr>
          <w:rFonts w:ascii="Times New Roman" w:eastAsia="Calibri" w:hAnsi="Times New Roman"/>
          <w:bCs/>
          <w:iCs/>
          <w:sz w:val="28"/>
          <w:szCs w:val="28"/>
          <w:lang w:val="bg-BG"/>
        </w:rPr>
      </w:pPr>
      <w:r w:rsidRPr="008630EC">
        <w:rPr>
          <w:rFonts w:ascii="Times New Roman" w:eastAsia="Calibri" w:hAnsi="Times New Roman"/>
          <w:sz w:val="28"/>
          <w:szCs w:val="28"/>
          <w:lang w:val="bg-BG"/>
        </w:rPr>
        <w:t xml:space="preserve">Във връзка с </w:t>
      </w:r>
      <w:r w:rsidRPr="008630EC">
        <w:rPr>
          <w:rFonts w:ascii="Times New Roman" w:eastAsia="Calibri" w:hAnsi="Times New Roman"/>
          <w:bCs/>
          <w:sz w:val="28"/>
          <w:szCs w:val="28"/>
          <w:lang w:val="bg-BG"/>
        </w:rPr>
        <w:t>Директива</w:t>
      </w:r>
      <w:r w:rsidR="006C65B4">
        <w:rPr>
          <w:rFonts w:ascii="Times New Roman" w:eastAsia="Calibri" w:hAnsi="Times New Roman"/>
          <w:bCs/>
          <w:sz w:val="28"/>
          <w:szCs w:val="28"/>
          <w:lang w:val="bg-BG"/>
        </w:rPr>
        <w:t xml:space="preserve"> </w:t>
      </w:r>
      <w:r w:rsidRPr="008630EC">
        <w:rPr>
          <w:rFonts w:ascii="Times New Roman" w:eastAsia="Calibri" w:hAnsi="Times New Roman"/>
          <w:bCs/>
          <w:sz w:val="28"/>
          <w:szCs w:val="28"/>
          <w:lang w:val="bg-BG"/>
        </w:rPr>
        <w:t>2009/65/ЕО</w:t>
      </w:r>
      <w:r w:rsidRPr="008630EC">
        <w:rPr>
          <w:rFonts w:ascii="Times New Roman" w:eastAsia="Calibri" w:hAnsi="Times New Roman"/>
          <w:sz w:val="28"/>
          <w:szCs w:val="28"/>
          <w:lang w:val="bg-BG"/>
        </w:rPr>
        <w:t xml:space="preserve"> се предлагат изменения в ЗДКИСДПКИ по отношение на режима на лицензиране и делегиране на функции, регулаторното третиране на попечителите, изискванията за надзорна отчетност и наличието и използването на инструменти за управление на ликвидността, които са аналогични на тези в </w:t>
      </w:r>
      <w:r w:rsidRPr="008630EC">
        <w:rPr>
          <w:rFonts w:ascii="Times New Roman" w:hAnsi="Times New Roman"/>
          <w:bCs/>
          <w:sz w:val="28"/>
          <w:szCs w:val="28"/>
          <w:lang w:val="bg-BG"/>
        </w:rPr>
        <w:t>Директива 2011/61/ЕС</w:t>
      </w:r>
      <w:r w:rsidR="00BE5346">
        <w:rPr>
          <w:rFonts w:ascii="Times New Roman" w:hAnsi="Times New Roman"/>
          <w:bCs/>
          <w:sz w:val="28"/>
          <w:szCs w:val="28"/>
          <w:lang w:val="bg-BG"/>
        </w:rPr>
        <w:t>,</w:t>
      </w:r>
      <w:r w:rsidRPr="008630EC">
        <w:rPr>
          <w:rFonts w:ascii="Times New Roman" w:eastAsia="Calibri" w:hAnsi="Times New Roman"/>
          <w:sz w:val="28"/>
          <w:szCs w:val="28"/>
          <w:lang w:val="bg-BG"/>
        </w:rPr>
        <w:t xml:space="preserve"> с оглед </w:t>
      </w:r>
      <w:r w:rsidR="00BE5346">
        <w:rPr>
          <w:rFonts w:ascii="Times New Roman" w:eastAsia="Calibri" w:hAnsi="Times New Roman"/>
          <w:sz w:val="28"/>
          <w:szCs w:val="28"/>
          <w:lang w:val="bg-BG"/>
        </w:rPr>
        <w:t xml:space="preserve">на </w:t>
      </w:r>
      <w:r w:rsidRPr="008630EC">
        <w:rPr>
          <w:rFonts w:ascii="Times New Roman" w:eastAsia="Calibri" w:hAnsi="Times New Roman"/>
          <w:sz w:val="28"/>
          <w:szCs w:val="28"/>
          <w:lang w:val="bg-BG"/>
        </w:rPr>
        <w:t xml:space="preserve">гарантиране, че условията за управляващите дружества на ПКИПЦК са сравними с тези на ЛУАИФ. </w:t>
      </w:r>
      <w:r w:rsidRPr="008630EC">
        <w:rPr>
          <w:rFonts w:ascii="Times New Roman" w:eastAsia="Calibri" w:hAnsi="Times New Roman"/>
          <w:bCs/>
          <w:sz w:val="28"/>
          <w:szCs w:val="28"/>
          <w:lang w:val="bg-BG"/>
        </w:rPr>
        <w:t xml:space="preserve">С цел повишаване на ефективността на дейностите на управляващите дружества се разширява и обхватът на услугите, които </w:t>
      </w:r>
      <w:r w:rsidRPr="008630EC">
        <w:rPr>
          <w:rFonts w:ascii="Times New Roman" w:eastAsia="Calibri" w:hAnsi="Times New Roman"/>
          <w:bCs/>
          <w:iCs/>
          <w:sz w:val="28"/>
          <w:szCs w:val="28"/>
          <w:lang w:val="bg-BG"/>
        </w:rPr>
        <w:t>тези дружества да предоставят, в допълнение към управлението на ПКИПЦК.</w:t>
      </w:r>
    </w:p>
    <w:p w14:paraId="23C574F7" w14:textId="153E30C4" w:rsidR="008630EC" w:rsidRPr="008630EC" w:rsidRDefault="008630EC" w:rsidP="00AF32C1">
      <w:pPr>
        <w:spacing w:line="360" w:lineRule="auto"/>
        <w:ind w:firstLine="1134"/>
        <w:jc w:val="both"/>
        <w:rPr>
          <w:rFonts w:ascii="Times New Roman" w:eastAsia="Calibri" w:hAnsi="Times New Roman"/>
          <w:bCs/>
          <w:sz w:val="28"/>
          <w:szCs w:val="28"/>
          <w:lang w:val="bg-BG"/>
        </w:rPr>
      </w:pPr>
      <w:r w:rsidRPr="008630EC">
        <w:rPr>
          <w:rFonts w:ascii="Times New Roman" w:hAnsi="Times New Roman"/>
          <w:bCs/>
          <w:sz w:val="28"/>
          <w:szCs w:val="28"/>
          <w:lang w:val="bg-BG"/>
        </w:rPr>
        <w:t xml:space="preserve">В допълнение, в хода на въвеждането на изискванията на директивата в ЗКДИСДПКИ се налагат и други прецизиращи изменения в него, констатирани в надзорната практика на Комисията за финансов </w:t>
      </w:r>
      <w:r w:rsidRPr="008630EC">
        <w:rPr>
          <w:rFonts w:ascii="Times New Roman" w:hAnsi="Times New Roman"/>
          <w:bCs/>
          <w:sz w:val="28"/>
          <w:szCs w:val="28"/>
          <w:lang w:val="bg-BG"/>
        </w:rPr>
        <w:lastRenderedPageBreak/>
        <w:t>надзор.</w:t>
      </w:r>
      <w:r w:rsidRPr="008630EC">
        <w:rPr>
          <w:rFonts w:ascii="Times New Roman" w:eastAsia="Calibri" w:hAnsi="Times New Roman"/>
          <w:bCs/>
          <w:sz w:val="28"/>
          <w:szCs w:val="28"/>
          <w:lang w:val="bg-BG"/>
        </w:rPr>
        <w:t xml:space="preserve"> Съобразно идентифицираната необходимост от хармонизация спрямо изискванията на чл. 53, пара</w:t>
      </w:r>
      <w:r w:rsidR="00B2544A">
        <w:rPr>
          <w:rFonts w:ascii="Times New Roman" w:eastAsia="Calibri" w:hAnsi="Times New Roman"/>
          <w:bCs/>
          <w:sz w:val="28"/>
          <w:szCs w:val="28"/>
          <w:lang w:val="bg-BG"/>
        </w:rPr>
        <w:t>граф</w:t>
      </w:r>
      <w:r w:rsidRPr="008630EC">
        <w:rPr>
          <w:rFonts w:ascii="Times New Roman" w:eastAsia="Calibri" w:hAnsi="Times New Roman"/>
          <w:bCs/>
          <w:sz w:val="28"/>
          <w:szCs w:val="28"/>
          <w:lang w:val="bg-BG"/>
        </w:rPr>
        <w:t xml:space="preserve"> 2 от Директива 2009/65/ЕО се прецизира разпоредбата на чл. 46, ал. 2 от ЗДКИСДПКИ относно инвестиционните лимити. Предложената редакция цели да избегне неяснота на текста и затруднено прилагане на нормата</w:t>
      </w:r>
      <w:r w:rsidR="00B738AD">
        <w:rPr>
          <w:rFonts w:ascii="Times New Roman" w:eastAsia="Calibri" w:hAnsi="Times New Roman"/>
          <w:bCs/>
          <w:sz w:val="28"/>
          <w:szCs w:val="28"/>
          <w:lang w:val="bg-BG"/>
        </w:rPr>
        <w:t>,</w:t>
      </w:r>
      <w:r w:rsidRPr="008630EC">
        <w:rPr>
          <w:rFonts w:ascii="Times New Roman" w:eastAsia="Calibri" w:hAnsi="Times New Roman"/>
          <w:bCs/>
          <w:sz w:val="28"/>
          <w:szCs w:val="28"/>
          <w:lang w:val="bg-BG"/>
        </w:rPr>
        <w:t xml:space="preserve"> настъпили вследствие на разминавания в официалния превод на уредбата в директивата.</w:t>
      </w:r>
    </w:p>
    <w:p w14:paraId="6924FD99" w14:textId="1B259335" w:rsidR="008630EC" w:rsidRPr="008630EC" w:rsidRDefault="008630EC" w:rsidP="00AF32C1">
      <w:pPr>
        <w:spacing w:line="360" w:lineRule="auto"/>
        <w:ind w:firstLine="1134"/>
        <w:jc w:val="both"/>
        <w:rPr>
          <w:rFonts w:ascii="Times New Roman" w:hAnsi="Times New Roman"/>
          <w:bCs/>
          <w:sz w:val="28"/>
          <w:szCs w:val="28"/>
          <w:lang w:val="bg-BG" w:bidi="bg-BG"/>
        </w:rPr>
      </w:pPr>
      <w:r w:rsidRPr="008630EC">
        <w:rPr>
          <w:rFonts w:ascii="Times New Roman" w:hAnsi="Times New Roman"/>
          <w:bCs/>
          <w:sz w:val="28"/>
          <w:szCs w:val="28"/>
          <w:lang w:val="bg-BG" w:bidi="bg-BG"/>
        </w:rPr>
        <w:t xml:space="preserve">Предлагат се и допълнителни разпоредби относно АИФ с произход Република България, включително относно тяхната правна форма. Следва да се отбележи, че Директива 2011/61/ЕС не създава уредба на АИФ, а урежда тези фондове посредством правила за управляващите ги лица - регулацията е от гледна точка на управлението на АИФ, без да се регулира дейността им. Допусканото от Директива 2011/61/ЕС разнообразие на организационни форми, липсата на ограничения относно възможните инвестиции и съответно инвестиционни политики, както и на конкретни правила във връзка с привличането на инвестиции, значително разширяват кръга на предприятията, които могат да бъдат квалифицирани като АИФ. Към момента в българското законодателство са предвидени изисквания единствено по отношение на националните инвестиционни фондове </w:t>
      </w:r>
      <w:r w:rsidRPr="008630EC">
        <w:rPr>
          <w:rFonts w:ascii="Times New Roman" w:hAnsi="Times New Roman"/>
          <w:bCs/>
          <w:sz w:val="28"/>
          <w:szCs w:val="28"/>
          <w:lang w:val="en-US"/>
        </w:rPr>
        <w:t>(</w:t>
      </w:r>
      <w:r w:rsidRPr="008630EC">
        <w:rPr>
          <w:rFonts w:ascii="Times New Roman" w:hAnsi="Times New Roman"/>
          <w:bCs/>
          <w:sz w:val="28"/>
          <w:szCs w:val="28"/>
          <w:lang w:val="bg-BG" w:bidi="bg-BG"/>
        </w:rPr>
        <w:t>НИФ</w:t>
      </w:r>
      <w:r w:rsidRPr="008630EC">
        <w:rPr>
          <w:rFonts w:ascii="Times New Roman" w:hAnsi="Times New Roman"/>
          <w:bCs/>
          <w:sz w:val="28"/>
          <w:szCs w:val="28"/>
          <w:lang w:val="en-US"/>
        </w:rPr>
        <w:t>)</w:t>
      </w:r>
      <w:r w:rsidRPr="008630EC">
        <w:rPr>
          <w:rFonts w:ascii="Times New Roman" w:hAnsi="Times New Roman"/>
          <w:bCs/>
          <w:sz w:val="28"/>
          <w:szCs w:val="28"/>
          <w:lang w:val="bg-BG" w:bidi="bg-BG"/>
        </w:rPr>
        <w:t>. С предлаганото изменение се определят допустимите правни форми, в които може да бъде учреден АИФ с произход Република България, който не е НИФ, като освен допустимите съгласно българското право форми за извършване на стопанска дейност, регламентирани в Търговския закон, изрично е предвидена форма за учредяване като договорен фонд така, както е предвидена тази форма за НИФ. Въведени са изисквания по отношение на съдържанието на учредителните документи на АИФ и тяхната организация с оглед</w:t>
      </w:r>
      <w:r w:rsidR="00B738AD">
        <w:rPr>
          <w:rFonts w:ascii="Times New Roman" w:hAnsi="Times New Roman"/>
          <w:bCs/>
          <w:sz w:val="28"/>
          <w:szCs w:val="28"/>
          <w:lang w:val="bg-BG" w:bidi="bg-BG"/>
        </w:rPr>
        <w:t xml:space="preserve"> на</w:t>
      </w:r>
      <w:r w:rsidRPr="008630EC">
        <w:rPr>
          <w:rFonts w:ascii="Times New Roman" w:hAnsi="Times New Roman"/>
          <w:bCs/>
          <w:sz w:val="28"/>
          <w:szCs w:val="28"/>
          <w:lang w:val="bg-BG" w:bidi="bg-BG"/>
        </w:rPr>
        <w:t xml:space="preserve"> функционирането на АИФ като такъв от отворен или затворен тип.</w:t>
      </w:r>
    </w:p>
    <w:p w14:paraId="6765A64D" w14:textId="77777777" w:rsidR="008630EC" w:rsidRPr="008630EC" w:rsidRDefault="008630EC" w:rsidP="00AF32C1">
      <w:pPr>
        <w:spacing w:line="360" w:lineRule="auto"/>
        <w:ind w:firstLine="1134"/>
        <w:jc w:val="both"/>
        <w:rPr>
          <w:rFonts w:ascii="Times New Roman" w:eastAsia="Calibri" w:hAnsi="Times New Roman"/>
          <w:b/>
          <w:bCs/>
          <w:sz w:val="28"/>
          <w:szCs w:val="28"/>
          <w:lang w:val="bg-BG"/>
        </w:rPr>
      </w:pPr>
      <w:r w:rsidRPr="008630EC">
        <w:rPr>
          <w:rFonts w:ascii="Times New Roman" w:eastAsia="Calibri" w:hAnsi="Times New Roman"/>
          <w:b/>
          <w:bCs/>
          <w:sz w:val="28"/>
          <w:szCs w:val="28"/>
          <w:lang w:val="bg-BG"/>
        </w:rPr>
        <w:lastRenderedPageBreak/>
        <w:t>2. Непълнота на уредбата относно изискванията за допускане до търговия, включително пазар за растеж на МСП, проучванията, проспекта за допускане до търговия и административно-наказателните разпоредби, налагаща въвеждане на мерки по прилагането на Регламент (ЕС) 2024/2809  изискванията и</w:t>
      </w:r>
      <w:r w:rsidRPr="008630EC">
        <w:rPr>
          <w:rFonts w:ascii="Times New Roman" w:eastAsia="Calibri" w:hAnsi="Times New Roman"/>
          <w:bCs/>
          <w:sz w:val="28"/>
          <w:szCs w:val="28"/>
          <w:lang w:val="bg-BG"/>
        </w:rPr>
        <w:t xml:space="preserve"> </w:t>
      </w:r>
      <w:r w:rsidRPr="008630EC">
        <w:rPr>
          <w:rFonts w:ascii="Times New Roman" w:eastAsia="Calibri" w:hAnsi="Times New Roman"/>
          <w:b/>
          <w:bCs/>
          <w:sz w:val="28"/>
          <w:szCs w:val="28"/>
          <w:lang w:val="bg-BG"/>
        </w:rPr>
        <w:t>Директива (ЕС) 2024/2811</w:t>
      </w:r>
    </w:p>
    <w:p w14:paraId="41A9B8B5" w14:textId="77777777" w:rsidR="008630EC" w:rsidRPr="008630EC" w:rsidRDefault="008630EC" w:rsidP="00AF32C1">
      <w:pPr>
        <w:spacing w:line="360" w:lineRule="auto"/>
        <w:ind w:firstLine="1134"/>
        <w:jc w:val="both"/>
        <w:rPr>
          <w:rFonts w:ascii="Times New Roman" w:eastAsia="Calibri" w:hAnsi="Times New Roman"/>
          <w:sz w:val="28"/>
          <w:szCs w:val="28"/>
          <w:lang w:val="bg-BG"/>
        </w:rPr>
      </w:pPr>
      <w:r w:rsidRPr="008630EC">
        <w:rPr>
          <w:rFonts w:ascii="Times New Roman" w:eastAsia="Calibri" w:hAnsi="Times New Roman"/>
          <w:sz w:val="28"/>
          <w:szCs w:val="28"/>
          <w:lang w:val="bg-BG"/>
        </w:rPr>
        <w:t>П</w:t>
      </w:r>
      <w:r w:rsidRPr="008630EC">
        <w:rPr>
          <w:rFonts w:ascii="Times New Roman" w:eastAsia="Calibri" w:hAnsi="Times New Roman"/>
          <w:bCs/>
          <w:sz w:val="28"/>
          <w:szCs w:val="28"/>
          <w:lang w:val="bg-BG"/>
        </w:rPr>
        <w:t>оради необходимостта от създаване на условия за прилагане на</w:t>
      </w:r>
      <w:r w:rsidRPr="008630EC">
        <w:rPr>
          <w:rFonts w:ascii="Times New Roman" w:eastAsia="Calibri" w:hAnsi="Times New Roman"/>
          <w:sz w:val="28"/>
          <w:szCs w:val="28"/>
          <w:lang w:val="bg-BG"/>
        </w:rPr>
        <w:t xml:space="preserve"> </w:t>
      </w:r>
      <w:r w:rsidRPr="008630EC">
        <w:rPr>
          <w:rFonts w:ascii="Times New Roman" w:eastAsia="Calibri" w:hAnsi="Times New Roman"/>
          <w:bCs/>
          <w:sz w:val="28"/>
          <w:szCs w:val="28"/>
          <w:lang w:val="bg-BG"/>
        </w:rPr>
        <w:t>измененията, настъпили с приемането на Регламент (ЕС) 2024/2809 и въвеждането на Директива (ЕС) 2024/2811,</w:t>
      </w:r>
      <w:r w:rsidRPr="008630EC">
        <w:rPr>
          <w:rFonts w:ascii="Times New Roman" w:hAnsi="Times New Roman"/>
          <w:bCs/>
          <w:sz w:val="28"/>
          <w:szCs w:val="28"/>
          <w:lang w:val="bg-BG"/>
        </w:rPr>
        <w:t xml:space="preserve"> като част от така наречения пакет </w:t>
      </w:r>
      <w:r w:rsidRPr="008630EC">
        <w:rPr>
          <w:rFonts w:ascii="Times New Roman" w:hAnsi="Times New Roman"/>
          <w:bCs/>
          <w:sz w:val="28"/>
          <w:szCs w:val="28"/>
          <w:lang w:val="en-US"/>
        </w:rPr>
        <w:t>“</w:t>
      </w:r>
      <w:r w:rsidRPr="008630EC">
        <w:rPr>
          <w:rFonts w:ascii="Times New Roman" w:hAnsi="Times New Roman"/>
          <w:bCs/>
          <w:sz w:val="28"/>
          <w:szCs w:val="28"/>
        </w:rPr>
        <w:t>Listing Act</w:t>
      </w:r>
      <w:r w:rsidRPr="008630EC">
        <w:rPr>
          <w:rFonts w:ascii="Times New Roman" w:hAnsi="Times New Roman"/>
          <w:bCs/>
          <w:sz w:val="28"/>
          <w:szCs w:val="28"/>
          <w:lang w:val="en-US"/>
        </w:rPr>
        <w:t>”</w:t>
      </w:r>
      <w:r w:rsidRPr="008630EC">
        <w:rPr>
          <w:rFonts w:ascii="Times New Roman" w:hAnsi="Times New Roman"/>
          <w:bCs/>
          <w:sz w:val="28"/>
          <w:szCs w:val="28"/>
          <w:lang w:val="bg-BG"/>
        </w:rPr>
        <w:t>,</w:t>
      </w:r>
      <w:r w:rsidRPr="008630EC">
        <w:rPr>
          <w:rFonts w:ascii="Times New Roman" w:eastAsia="Calibri" w:hAnsi="Times New Roman"/>
          <w:bCs/>
          <w:sz w:val="28"/>
          <w:szCs w:val="28"/>
          <w:lang w:val="bg-BG"/>
        </w:rPr>
        <w:t xml:space="preserve"> се </w:t>
      </w:r>
      <w:r w:rsidRPr="008630EC">
        <w:rPr>
          <w:rFonts w:ascii="Times New Roman" w:eastAsia="Calibri" w:hAnsi="Times New Roman"/>
          <w:sz w:val="28"/>
          <w:szCs w:val="28"/>
          <w:lang w:val="bg-BG"/>
        </w:rPr>
        <w:t xml:space="preserve">налагат изменения в приложимата национална нормативна уредба </w:t>
      </w:r>
      <w:r w:rsidRPr="008630EC">
        <w:rPr>
          <w:rFonts w:ascii="Times New Roman" w:hAnsi="Times New Roman"/>
          <w:b/>
          <w:bCs/>
          <w:sz w:val="28"/>
          <w:szCs w:val="28"/>
          <w:lang w:val="bg-BG"/>
        </w:rPr>
        <w:t>в срок до 5 юни 2026 г.</w:t>
      </w:r>
      <w:r w:rsidRPr="008630EC">
        <w:rPr>
          <w:rFonts w:ascii="Times New Roman" w:hAnsi="Times New Roman"/>
          <w:bCs/>
          <w:sz w:val="28"/>
          <w:szCs w:val="28"/>
          <w:lang w:val="bg-BG"/>
        </w:rPr>
        <w:t xml:space="preserve"> </w:t>
      </w:r>
      <w:r w:rsidRPr="008630EC">
        <w:rPr>
          <w:rFonts w:ascii="Times New Roman" w:eastAsia="Calibri" w:hAnsi="Times New Roman"/>
          <w:sz w:val="28"/>
          <w:szCs w:val="28"/>
          <w:lang w:val="bg-BG"/>
        </w:rPr>
        <w:t xml:space="preserve">и по-конкретно – Закона за пазарите на финансови инструменти, Закона за публичното предлагане на ценни книжа и Закона за прилагане на мерките срещу пазарните злоупотреби с финансови инструменти. </w:t>
      </w:r>
    </w:p>
    <w:p w14:paraId="271FBE57" w14:textId="77777777" w:rsidR="008630EC" w:rsidRPr="008630EC" w:rsidRDefault="008630EC" w:rsidP="00AF32C1">
      <w:pPr>
        <w:spacing w:line="360" w:lineRule="auto"/>
        <w:ind w:firstLine="1134"/>
        <w:jc w:val="both"/>
        <w:rPr>
          <w:rFonts w:ascii="Times New Roman" w:hAnsi="Times New Roman"/>
          <w:bCs/>
          <w:sz w:val="28"/>
          <w:szCs w:val="28"/>
          <w:lang w:val="en-US"/>
        </w:rPr>
      </w:pPr>
      <w:r w:rsidRPr="008630EC">
        <w:rPr>
          <w:rFonts w:ascii="Times New Roman" w:hAnsi="Times New Roman"/>
          <w:bCs/>
          <w:sz w:val="28"/>
          <w:szCs w:val="28"/>
          <w:lang w:val="bg-BG"/>
        </w:rPr>
        <w:t xml:space="preserve">Посредством горепосочения </w:t>
      </w:r>
      <w:r w:rsidRPr="008630EC">
        <w:rPr>
          <w:rFonts w:ascii="Times New Roman" w:eastAsia="Calibri" w:hAnsi="Times New Roman"/>
          <w:bCs/>
          <w:sz w:val="28"/>
          <w:szCs w:val="28"/>
          <w:lang w:val="bg-BG"/>
        </w:rPr>
        <w:t>Регламент (ЕС) 2024/2809</w:t>
      </w:r>
      <w:r w:rsidRPr="008630EC">
        <w:rPr>
          <w:rFonts w:ascii="Times New Roman" w:hAnsi="Times New Roman"/>
          <w:bCs/>
          <w:sz w:val="28"/>
          <w:szCs w:val="28"/>
          <w:lang w:val="bg-BG"/>
        </w:rPr>
        <w:t xml:space="preserve"> се изменят праговете за публикуване на проспект, наименованията на отделните видове проспекти за облекчено допускане до търговия, както и административнонаказателните разпоредби срещу пазарните злоупотреби.</w:t>
      </w:r>
    </w:p>
    <w:p w14:paraId="07D5C722" w14:textId="6685C6E4" w:rsidR="008630EC" w:rsidRPr="008630EC" w:rsidRDefault="008630EC" w:rsidP="00AF32C1">
      <w:pPr>
        <w:spacing w:line="360" w:lineRule="auto"/>
        <w:ind w:firstLine="1134"/>
        <w:jc w:val="both"/>
        <w:rPr>
          <w:rFonts w:ascii="Times New Roman" w:hAnsi="Times New Roman"/>
          <w:sz w:val="28"/>
          <w:szCs w:val="28"/>
          <w:lang w:val="bg-BG" w:eastAsia="bg-BG"/>
        </w:rPr>
      </w:pPr>
      <w:r w:rsidRPr="008630EC">
        <w:rPr>
          <w:rFonts w:ascii="Times New Roman" w:hAnsi="Times New Roman"/>
          <w:sz w:val="28"/>
          <w:szCs w:val="28"/>
          <w:lang w:val="bg-BG" w:eastAsia="bg-BG"/>
        </w:rPr>
        <w:t xml:space="preserve">Законопроектът предвижда промени в националното законодателство с цел адаптиране към измененията в Регламент </w:t>
      </w:r>
      <w:r w:rsidR="00EC4E5F">
        <w:rPr>
          <w:rFonts w:ascii="Times New Roman" w:hAnsi="Times New Roman"/>
          <w:sz w:val="28"/>
          <w:szCs w:val="28"/>
          <w:lang w:val="bg-BG" w:eastAsia="bg-BG"/>
        </w:rPr>
        <w:br/>
      </w:r>
      <w:r w:rsidRPr="008630EC">
        <w:rPr>
          <w:rFonts w:ascii="Times New Roman" w:hAnsi="Times New Roman"/>
          <w:sz w:val="28"/>
          <w:szCs w:val="28"/>
          <w:lang w:val="bg-BG" w:eastAsia="bg-BG"/>
        </w:rPr>
        <w:t>(ЕС) 2017/1129, които уреждат изискванията за изготвяне, одобряване</w:t>
      </w:r>
      <w:r w:rsidR="00EC4E5F">
        <w:rPr>
          <w:rFonts w:ascii="Times New Roman" w:hAnsi="Times New Roman"/>
          <w:sz w:val="28"/>
          <w:szCs w:val="28"/>
          <w:lang w:val="bg-BG" w:eastAsia="bg-BG"/>
        </w:rPr>
        <w:t>,</w:t>
      </w:r>
      <w:r w:rsidRPr="008630EC">
        <w:rPr>
          <w:rFonts w:ascii="Times New Roman" w:hAnsi="Times New Roman"/>
          <w:sz w:val="28"/>
          <w:szCs w:val="28"/>
          <w:lang w:val="bg-BG" w:eastAsia="bg-BG"/>
        </w:rPr>
        <w:t xml:space="preserve"> публикуване и разпространение на проспекти при публично предлагане на ценни книжа и/или допускането им до търговия на регулиран пазар в държавите членки. Съществуващата правна рамка създава пречки, свързани с размера, сложността и високите разходи за подготовка на проспекти, особено за дружества, включително малки и средни предприятия (МСП), които кандидатстват за достъп до публичните пазари за първи път чрез първично публично предлагане, както и за дружества, които извършват вторични емисии на дялови и недялови ценни книжа. </w:t>
      </w:r>
    </w:p>
    <w:p w14:paraId="2F450752" w14:textId="77777777" w:rsidR="008630EC" w:rsidRPr="008630EC" w:rsidRDefault="008630EC" w:rsidP="00AF32C1">
      <w:pPr>
        <w:spacing w:line="360" w:lineRule="auto"/>
        <w:ind w:firstLine="1134"/>
        <w:jc w:val="both"/>
        <w:rPr>
          <w:rFonts w:ascii="Times New Roman" w:hAnsi="Times New Roman"/>
          <w:sz w:val="28"/>
          <w:szCs w:val="28"/>
          <w:lang w:val="bg-BG" w:eastAsia="bg-BG"/>
        </w:rPr>
      </w:pPr>
      <w:r w:rsidRPr="008630EC">
        <w:rPr>
          <w:rFonts w:ascii="Times New Roman" w:hAnsi="Times New Roman"/>
          <w:sz w:val="28"/>
          <w:szCs w:val="28"/>
          <w:lang w:val="bg-BG" w:eastAsia="bg-BG"/>
        </w:rPr>
        <w:lastRenderedPageBreak/>
        <w:t>В съответствие с</w:t>
      </w:r>
      <w:r w:rsidRPr="008630EC">
        <w:rPr>
          <w:rFonts w:ascii="Times New Roman" w:hAnsi="Times New Roman"/>
          <w:bCs/>
          <w:sz w:val="28"/>
          <w:szCs w:val="28"/>
          <w:lang w:val="bg-BG"/>
        </w:rPr>
        <w:t xml:space="preserve"> измененията в </w:t>
      </w:r>
      <w:r w:rsidRPr="008630EC">
        <w:rPr>
          <w:rFonts w:ascii="Times New Roman" w:hAnsi="Times New Roman"/>
          <w:bCs/>
          <w:sz w:val="28"/>
          <w:szCs w:val="28"/>
          <w:lang w:val="bg-BG" w:eastAsia="bg-BG"/>
        </w:rPr>
        <w:t>Регламент (ЕС) 2024/2809</w:t>
      </w:r>
      <w:r w:rsidRPr="008630EC">
        <w:rPr>
          <w:rFonts w:ascii="Times New Roman" w:hAnsi="Times New Roman"/>
          <w:sz w:val="28"/>
          <w:szCs w:val="28"/>
          <w:lang w:val="bg-BG" w:eastAsia="bg-BG"/>
        </w:rPr>
        <w:t xml:space="preserve"> досегашният праг за освобождаване от задължението за изготвяне и публикуване на проспект при публично предлагане на ценни книжа се повишава на 12 000 000 евро в рамките на Съюза. В националното законодателство се предлага прагът по чл. 89в, ал. 1 от ЗППЦК да бъде увеличен от 8 000 000 евро на 12 000 000 евро. Под този праг публичното предлагане ще бъде освободено от задължението за изготвяне на проспект, при условие че не се изисква </w:t>
      </w:r>
      <w:proofErr w:type="spellStart"/>
      <w:r w:rsidRPr="008630EC">
        <w:rPr>
          <w:rFonts w:ascii="Times New Roman" w:hAnsi="Times New Roman"/>
          <w:sz w:val="28"/>
          <w:szCs w:val="28"/>
          <w:lang w:val="bg-BG" w:eastAsia="bg-BG"/>
        </w:rPr>
        <w:t>паспортизиране</w:t>
      </w:r>
      <w:proofErr w:type="spellEnd"/>
      <w:r w:rsidRPr="008630EC">
        <w:rPr>
          <w:rFonts w:ascii="Times New Roman" w:hAnsi="Times New Roman"/>
          <w:sz w:val="28"/>
          <w:szCs w:val="28"/>
          <w:lang w:val="bg-BG" w:eastAsia="bg-BG"/>
        </w:rPr>
        <w:t>. Не се предлага България да се възползва от дерогацията за определяне на праг от 5 млн. евро, тъй като този праг беше въведен през 2020 г., а през 2022 г. беше повишен до максималния по Регламент (ЕС) 2017/1129, определен на 8 млн. евро към този момент. Освобождаването ще обхваща и предлагания на ценни книжа, които предстои да бъдат допуснати до търговия на регулиран пазар или на пазар за растеж на МСП, които са заменими с ценни книжа, вече допуснати до търговия на същия регулиран пазар или пазар за растеж на МСП, включително е предвидено и кумулативното изпълнение на определени условия.</w:t>
      </w:r>
    </w:p>
    <w:p w14:paraId="06368F76" w14:textId="77777777" w:rsidR="008630EC" w:rsidRPr="008630EC" w:rsidRDefault="008630EC" w:rsidP="00AF32C1">
      <w:pPr>
        <w:spacing w:line="360" w:lineRule="auto"/>
        <w:ind w:firstLine="1134"/>
        <w:jc w:val="both"/>
        <w:rPr>
          <w:rFonts w:ascii="Times New Roman" w:hAnsi="Times New Roman"/>
          <w:sz w:val="28"/>
          <w:szCs w:val="28"/>
          <w:lang w:val="bg-BG" w:eastAsia="bg-BG"/>
        </w:rPr>
      </w:pPr>
      <w:r w:rsidRPr="008630EC">
        <w:rPr>
          <w:rFonts w:ascii="Times New Roman" w:hAnsi="Times New Roman"/>
          <w:sz w:val="28"/>
          <w:szCs w:val="28"/>
          <w:lang w:val="bg-BG" w:eastAsia="bg-BG"/>
        </w:rPr>
        <w:t xml:space="preserve">С Регламент (ЕС) 2024/2809 се облекчава режимът за изготвяне на проспекти чрез въвеждане на нови форми на документация, насочени към намаляване на административната тежест и разходите за емитентите. Въвежда се </w:t>
      </w:r>
      <w:r w:rsidRPr="008630EC">
        <w:rPr>
          <w:rFonts w:ascii="Times New Roman" w:hAnsi="Times New Roman"/>
          <w:bCs/>
          <w:i/>
          <w:sz w:val="28"/>
          <w:szCs w:val="28"/>
          <w:lang w:val="bg-BG" w:eastAsia="bg-BG"/>
        </w:rPr>
        <w:t>проспект на ЕС за последващо емитиране</w:t>
      </w:r>
      <w:r w:rsidRPr="008630EC">
        <w:rPr>
          <w:rFonts w:ascii="Times New Roman" w:hAnsi="Times New Roman"/>
          <w:sz w:val="28"/>
          <w:szCs w:val="28"/>
          <w:lang w:val="bg-BG" w:eastAsia="bg-BG"/>
        </w:rPr>
        <w:t xml:space="preserve">, който предлага опростена структура и съдържание, като включва само минималната информация, определена в Регламента за проспектите в зависимост от видовете ценни книжа. Този проспект е предназначен за емитенти, чиито ценни книжа са били допуснати до търговия на регулиран пазар или пазар за растеж на МСП най-малко през предходните 18 месеца без прекъсване, и които са изпълнили изискванията за периодично и текущо оповестяване съгласно приложимите актове на ЕС. Новият формат ще обхваща както публично предлагане, така и допускане до търговия на регулиран пазар на </w:t>
      </w:r>
      <w:r w:rsidRPr="008630EC">
        <w:rPr>
          <w:rFonts w:ascii="Times New Roman" w:hAnsi="Times New Roman"/>
          <w:sz w:val="28"/>
          <w:szCs w:val="28"/>
          <w:lang w:val="bg-BG" w:eastAsia="bg-BG"/>
        </w:rPr>
        <w:lastRenderedPageBreak/>
        <w:t xml:space="preserve">ценни книжа, които са заменими или не са заменими с вече търгувани ценни книжа. Това ще даде възможност на дружества, които се стремят да преминат от пазар за растеж на МСП към регулиран пазар, да използват този облекчен режим. </w:t>
      </w:r>
    </w:p>
    <w:p w14:paraId="762A5DF5" w14:textId="77777777" w:rsidR="008630EC" w:rsidRPr="008630EC" w:rsidRDefault="008630EC" w:rsidP="00AF32C1">
      <w:pPr>
        <w:spacing w:line="360" w:lineRule="auto"/>
        <w:ind w:firstLine="1134"/>
        <w:jc w:val="both"/>
        <w:rPr>
          <w:rFonts w:ascii="Times New Roman" w:hAnsi="Times New Roman"/>
          <w:sz w:val="28"/>
          <w:szCs w:val="28"/>
          <w:lang w:val="bg-BG" w:eastAsia="bg-BG"/>
        </w:rPr>
      </w:pPr>
      <w:r w:rsidRPr="008630EC">
        <w:rPr>
          <w:rFonts w:ascii="Times New Roman" w:hAnsi="Times New Roman"/>
          <w:sz w:val="28"/>
          <w:szCs w:val="28"/>
          <w:lang w:val="bg-BG" w:eastAsia="bg-BG"/>
        </w:rPr>
        <w:t xml:space="preserve">Новата законодателна рамка предвижда също въвеждането на </w:t>
      </w:r>
      <w:r w:rsidRPr="008630EC">
        <w:rPr>
          <w:rFonts w:ascii="Times New Roman" w:hAnsi="Times New Roman"/>
          <w:b/>
          <w:bCs/>
          <w:sz w:val="28"/>
          <w:szCs w:val="28"/>
          <w:lang w:val="bg-BG" w:eastAsia="bg-BG"/>
        </w:rPr>
        <w:t>проспект на ЕС за емитиране за растеж</w:t>
      </w:r>
      <w:r w:rsidRPr="008630EC">
        <w:rPr>
          <w:rFonts w:ascii="Times New Roman" w:hAnsi="Times New Roman"/>
          <w:sz w:val="28"/>
          <w:szCs w:val="28"/>
          <w:lang w:val="bg-BG" w:eastAsia="bg-BG"/>
        </w:rPr>
        <w:t>, който е създаден специално за МСП и емитенти, отговарящи на определени критерии. Целта е да се намали сложността на процеса по допускане до търговия и да се ограничат разходите за по-малките участници на пазара.</w:t>
      </w:r>
    </w:p>
    <w:p w14:paraId="526373C4" w14:textId="0106B4B5" w:rsidR="008630EC" w:rsidRPr="008630EC" w:rsidRDefault="008630EC" w:rsidP="00AF32C1">
      <w:pPr>
        <w:spacing w:line="360" w:lineRule="auto"/>
        <w:ind w:firstLine="1134"/>
        <w:jc w:val="both"/>
        <w:rPr>
          <w:rFonts w:ascii="Times New Roman" w:eastAsia="Calibri" w:hAnsi="Times New Roman"/>
          <w:sz w:val="28"/>
          <w:szCs w:val="28"/>
          <w:lang w:val="bg-BG"/>
        </w:rPr>
      </w:pPr>
      <w:r w:rsidRPr="008630EC">
        <w:rPr>
          <w:rFonts w:ascii="Times New Roman" w:eastAsia="Calibri" w:hAnsi="Times New Roman"/>
          <w:sz w:val="28"/>
          <w:szCs w:val="28"/>
          <w:lang w:val="bg-BG"/>
        </w:rPr>
        <w:t xml:space="preserve">С оглед </w:t>
      </w:r>
      <w:r w:rsidR="00EC4E5F">
        <w:rPr>
          <w:rFonts w:ascii="Times New Roman" w:eastAsia="Calibri" w:hAnsi="Times New Roman"/>
          <w:sz w:val="28"/>
          <w:szCs w:val="28"/>
          <w:lang w:val="bg-BG"/>
        </w:rPr>
        <w:t xml:space="preserve">на </w:t>
      </w:r>
      <w:r w:rsidRPr="008630EC">
        <w:rPr>
          <w:rFonts w:ascii="Times New Roman" w:eastAsia="Calibri" w:hAnsi="Times New Roman"/>
          <w:sz w:val="28"/>
          <w:szCs w:val="28"/>
          <w:lang w:val="bg-BG"/>
        </w:rPr>
        <w:t xml:space="preserve">необходимостта от адаптация спрямо измененията в Регламент (ЕС) № 596/2014 относно пазарните злоупотреби настоящият законопроект съдържа и предложения за изменения и допълнения в Закона за прилагане на мерките срещу пазарните злоупотреби с финансови инструменти, който осигурява рамката за прилагане на мерките срещу злоупотреби с вътрешна информация, незаконно разкриване и манипулиране на пазара, както и гарантира целостта на финансовите пазари и защитава интересите на инвеститорите. </w:t>
      </w:r>
    </w:p>
    <w:p w14:paraId="4C5D1878" w14:textId="662FF1D4" w:rsidR="008630EC" w:rsidRPr="008630EC" w:rsidRDefault="008630EC" w:rsidP="00AF32C1">
      <w:pPr>
        <w:spacing w:line="360" w:lineRule="auto"/>
        <w:ind w:firstLine="1134"/>
        <w:jc w:val="both"/>
        <w:rPr>
          <w:rFonts w:ascii="Times New Roman" w:eastAsia="Calibri" w:hAnsi="Times New Roman"/>
          <w:bCs/>
          <w:sz w:val="28"/>
          <w:szCs w:val="28"/>
          <w:lang w:val="bg-BG"/>
        </w:rPr>
      </w:pPr>
      <w:r w:rsidRPr="008630EC">
        <w:rPr>
          <w:rFonts w:ascii="Times New Roman" w:hAnsi="Times New Roman"/>
          <w:bCs/>
          <w:sz w:val="28"/>
          <w:szCs w:val="28"/>
          <w:lang w:val="bg-BG"/>
        </w:rPr>
        <w:t>Същевременно</w:t>
      </w:r>
      <w:r w:rsidR="00EC4E5F">
        <w:rPr>
          <w:rFonts w:ascii="Times New Roman" w:hAnsi="Times New Roman"/>
          <w:bCs/>
          <w:sz w:val="28"/>
          <w:szCs w:val="28"/>
          <w:lang w:val="bg-BG"/>
        </w:rPr>
        <w:t xml:space="preserve"> </w:t>
      </w:r>
      <w:r w:rsidRPr="008630EC">
        <w:rPr>
          <w:rFonts w:ascii="Times New Roman" w:hAnsi="Times New Roman"/>
          <w:bCs/>
          <w:sz w:val="28"/>
          <w:szCs w:val="28"/>
          <w:lang w:val="bg-BG"/>
        </w:rPr>
        <w:t>чрез Директива (ЕС) 2024/2811 се приемат редица изменения</w:t>
      </w:r>
      <w:r w:rsidR="00EC4E5F">
        <w:rPr>
          <w:rFonts w:ascii="Times New Roman" w:hAnsi="Times New Roman"/>
          <w:bCs/>
          <w:sz w:val="28"/>
          <w:szCs w:val="28"/>
          <w:lang w:val="bg-BG"/>
        </w:rPr>
        <w:t>,</w:t>
      </w:r>
      <w:r w:rsidRPr="008630EC">
        <w:rPr>
          <w:rFonts w:ascii="Times New Roman" w:hAnsi="Times New Roman"/>
          <w:bCs/>
          <w:sz w:val="28"/>
          <w:szCs w:val="28"/>
          <w:lang w:val="bg-BG"/>
        </w:rPr>
        <w:t xml:space="preserve"> целящи стимулиране на капиталовия пазар и намаляване на административната тежест и разходи. </w:t>
      </w:r>
      <w:r w:rsidRPr="008630EC">
        <w:rPr>
          <w:rFonts w:ascii="Times New Roman" w:eastAsia="Calibri" w:hAnsi="Times New Roman"/>
          <w:sz w:val="28"/>
          <w:szCs w:val="28"/>
          <w:lang w:val="bg-BG"/>
        </w:rPr>
        <w:t xml:space="preserve">В частност проектът предвижда промени в Закона за пазарите на финансови инструменти за транспониране на </w:t>
      </w:r>
      <w:r w:rsidRPr="008630EC">
        <w:rPr>
          <w:rFonts w:ascii="Times New Roman" w:eastAsia="Calibri" w:hAnsi="Times New Roman"/>
          <w:bCs/>
          <w:sz w:val="28"/>
          <w:szCs w:val="28"/>
          <w:lang w:val="bg-BG"/>
        </w:rPr>
        <w:t>Директива (ЕС) 2024/2811, като се допълва действащата уредба</w:t>
      </w:r>
      <w:r w:rsidR="00915613">
        <w:rPr>
          <w:rFonts w:ascii="Times New Roman" w:eastAsia="Calibri" w:hAnsi="Times New Roman"/>
          <w:bCs/>
          <w:sz w:val="28"/>
          <w:szCs w:val="28"/>
          <w:lang w:val="bg-BG"/>
        </w:rPr>
        <w:t>,</w:t>
      </w:r>
      <w:r w:rsidRPr="008630EC">
        <w:rPr>
          <w:rFonts w:ascii="Times New Roman" w:eastAsia="Calibri" w:hAnsi="Times New Roman"/>
          <w:bCs/>
          <w:sz w:val="28"/>
          <w:szCs w:val="28"/>
          <w:lang w:val="bg-BG"/>
        </w:rPr>
        <w:t xml:space="preserve"> приложима към проучванията изготвяни от инвестиционни посредници. Предлага се въвеждането на организационни механизми, гарантиращи, че проучванията</w:t>
      </w:r>
      <w:r w:rsidR="00095CF1">
        <w:rPr>
          <w:rFonts w:ascii="Times New Roman" w:eastAsia="Calibri" w:hAnsi="Times New Roman"/>
          <w:bCs/>
          <w:sz w:val="28"/>
          <w:szCs w:val="28"/>
          <w:lang w:val="bg-BG"/>
        </w:rPr>
        <w:t>,</w:t>
      </w:r>
      <w:r w:rsidRPr="008630EC">
        <w:rPr>
          <w:rFonts w:ascii="Times New Roman" w:eastAsia="Calibri" w:hAnsi="Times New Roman"/>
          <w:bCs/>
          <w:sz w:val="28"/>
          <w:szCs w:val="28"/>
          <w:lang w:val="bg-BG"/>
        </w:rPr>
        <w:t xml:space="preserve"> платени частично или изцяло със средства на емитента</w:t>
      </w:r>
      <w:r w:rsidR="00915613">
        <w:rPr>
          <w:rFonts w:ascii="Times New Roman" w:eastAsia="Calibri" w:hAnsi="Times New Roman"/>
          <w:bCs/>
          <w:sz w:val="28"/>
          <w:szCs w:val="28"/>
          <w:lang w:val="bg-BG"/>
        </w:rPr>
        <w:t>,</w:t>
      </w:r>
      <w:r w:rsidRPr="008630EC">
        <w:rPr>
          <w:rFonts w:ascii="Times New Roman" w:eastAsia="Calibri" w:hAnsi="Times New Roman"/>
          <w:bCs/>
          <w:sz w:val="28"/>
          <w:szCs w:val="28"/>
          <w:lang w:val="bg-BG"/>
        </w:rPr>
        <w:t xml:space="preserve"> се изготвят в съответствие с кодекс за поведение на ЕС за проучвания със средства на емитента, което цели да повиши доверието в такива проучвания и използването им. Също така, за да се поощри развитието специализирани пазари и да се ограничи организационната тежест за инвестиционните </w:t>
      </w:r>
      <w:r w:rsidRPr="008630EC">
        <w:rPr>
          <w:rFonts w:ascii="Times New Roman" w:eastAsia="Calibri" w:hAnsi="Times New Roman"/>
          <w:bCs/>
          <w:sz w:val="28"/>
          <w:szCs w:val="28"/>
          <w:lang w:val="bg-BG"/>
        </w:rPr>
        <w:lastRenderedPageBreak/>
        <w:t>посредници или пазарните оператори, организиращи многостранни системи за търговия (МСТ), се разрешава даден сегмент от МСТ да подаде заявление за регистрация като пазар за растеж на МСП, при условие че този сегмент е ясно отделен от останалата част от МСТ.</w:t>
      </w:r>
    </w:p>
    <w:p w14:paraId="2A808D82" w14:textId="4910853B" w:rsidR="008630EC" w:rsidRPr="008630EC" w:rsidRDefault="008630EC" w:rsidP="00AF32C1">
      <w:pPr>
        <w:spacing w:line="360" w:lineRule="auto"/>
        <w:ind w:firstLine="1134"/>
        <w:jc w:val="both"/>
        <w:rPr>
          <w:rFonts w:ascii="Times New Roman" w:eastAsia="Calibri" w:hAnsi="Times New Roman"/>
          <w:bCs/>
          <w:sz w:val="28"/>
          <w:szCs w:val="28"/>
          <w:lang w:val="bg-BG"/>
        </w:rPr>
      </w:pPr>
      <w:r w:rsidRPr="008630EC">
        <w:rPr>
          <w:rFonts w:ascii="Times New Roman" w:eastAsia="Calibri" w:hAnsi="Times New Roman"/>
          <w:bCs/>
          <w:sz w:val="28"/>
          <w:szCs w:val="28"/>
          <w:lang w:val="bg-BG"/>
        </w:rPr>
        <w:t>Във връзка с хармонизиране на изискванията за допускане до търговия и осигуряване на достатъчна степен на разпределение на съответния клас акции сред обществеността, се предлага Република България да се възползва от дерогацията по чл. 51а, параграф 5 от Директива (ЕС) 2024/2811</w:t>
      </w:r>
      <w:r w:rsidR="004C7856">
        <w:rPr>
          <w:rFonts w:ascii="Times New Roman" w:eastAsia="Calibri" w:hAnsi="Times New Roman"/>
          <w:bCs/>
          <w:sz w:val="28"/>
          <w:szCs w:val="28"/>
          <w:lang w:val="bg-BG"/>
        </w:rPr>
        <w:t>,</w:t>
      </w:r>
      <w:r w:rsidRPr="008630EC">
        <w:rPr>
          <w:rFonts w:ascii="Times New Roman" w:eastAsia="Calibri" w:hAnsi="Times New Roman"/>
          <w:bCs/>
          <w:sz w:val="28"/>
          <w:szCs w:val="28"/>
          <w:lang w:val="bg-BG"/>
        </w:rPr>
        <w:t xml:space="preserve"> който позволява държавите членки да установят алтернативни критерии за достатъчно публично разпределение, вместо фиксиран процент, който е най-малко 10% от записания капитал. В</w:t>
      </w:r>
      <w:r w:rsidR="004C7856">
        <w:rPr>
          <w:rFonts w:ascii="Times New Roman" w:eastAsia="Calibri" w:hAnsi="Times New Roman"/>
          <w:bCs/>
          <w:sz w:val="28"/>
          <w:szCs w:val="28"/>
          <w:lang w:val="bg-BG"/>
        </w:rPr>
        <w:t>ъв</w:t>
      </w:r>
      <w:r w:rsidRPr="008630EC">
        <w:rPr>
          <w:rFonts w:ascii="Times New Roman" w:eastAsia="Calibri" w:hAnsi="Times New Roman"/>
          <w:bCs/>
          <w:sz w:val="28"/>
          <w:szCs w:val="28"/>
          <w:lang w:val="bg-BG"/>
        </w:rPr>
        <w:t xml:space="preserve"> </w:t>
      </w:r>
      <w:r w:rsidR="004C7856">
        <w:rPr>
          <w:rFonts w:ascii="Times New Roman" w:eastAsia="Calibri" w:hAnsi="Times New Roman"/>
          <w:bCs/>
          <w:sz w:val="28"/>
          <w:szCs w:val="28"/>
          <w:lang w:val="bg-BG"/>
        </w:rPr>
        <w:t>връзка с това</w:t>
      </w:r>
      <w:r w:rsidRPr="008630EC">
        <w:rPr>
          <w:rFonts w:ascii="Times New Roman" w:eastAsia="Calibri" w:hAnsi="Times New Roman"/>
          <w:bCs/>
          <w:sz w:val="28"/>
          <w:szCs w:val="28"/>
          <w:lang w:val="bg-BG"/>
        </w:rPr>
        <w:t xml:space="preserve"> следва да се посочи, че</w:t>
      </w:r>
      <w:r w:rsidRPr="008630EC">
        <w:rPr>
          <w:rFonts w:ascii="Times New Roman" w:eastAsia="Calibri" w:hAnsi="Times New Roman"/>
          <w:bCs/>
          <w:sz w:val="28"/>
          <w:szCs w:val="28"/>
          <w:lang w:val="en-US"/>
        </w:rPr>
        <w:t xml:space="preserve"> </w:t>
      </w:r>
      <w:r w:rsidRPr="008630EC">
        <w:rPr>
          <w:rFonts w:ascii="Times New Roman" w:eastAsia="Calibri" w:hAnsi="Times New Roman"/>
          <w:bCs/>
          <w:sz w:val="28"/>
          <w:szCs w:val="28"/>
          <w:lang w:val="bg-BG"/>
        </w:rPr>
        <w:t>структурата на регулирания пазар в Република България се характеризира с висока концентрация на собствеността при значителен брой емитенти, сравнително ограничен мащаб на публичните емисии, по-ниска вторична ликвидност спрямо големите пазари в ЕС и ограничена инвеститорска база в сравнение с големите европейски регулирани пазари. В този смисъл е налице необходимост от пропорционален и икономически обоснован подход</w:t>
      </w:r>
      <w:r w:rsidR="004C7856">
        <w:rPr>
          <w:rFonts w:ascii="Times New Roman" w:eastAsia="Calibri" w:hAnsi="Times New Roman"/>
          <w:bCs/>
          <w:sz w:val="28"/>
          <w:szCs w:val="28"/>
          <w:lang w:val="bg-BG"/>
        </w:rPr>
        <w:t>,</w:t>
      </w:r>
      <w:r w:rsidRPr="008630EC">
        <w:rPr>
          <w:rFonts w:ascii="Times New Roman" w:eastAsia="Calibri" w:hAnsi="Times New Roman"/>
          <w:bCs/>
          <w:sz w:val="28"/>
          <w:szCs w:val="28"/>
          <w:lang w:val="bg-BG"/>
        </w:rPr>
        <w:t xml:space="preserve"> поради което по-подходящо решение е прилагането на дерогацията като основен механизъм за гарантиране на достатъчно публично разпределение чрез въвеждане на един или повече от изброените критерии. Този подход предоставя необходимата регулаторна гъвкавост и съответства на целта на европейския законодател да бъдат отчетени различията между отделните национални капиталови пазари. В съответствие с директивата се предлага конкретизация на измеримите критерии в правилника на регулирания пазар, подлежащ на одобр</w:t>
      </w:r>
      <w:r w:rsidR="004C7856">
        <w:rPr>
          <w:rFonts w:ascii="Times New Roman" w:eastAsia="Calibri" w:hAnsi="Times New Roman"/>
          <w:bCs/>
          <w:sz w:val="28"/>
          <w:szCs w:val="28"/>
          <w:lang w:val="bg-BG"/>
        </w:rPr>
        <w:t>яване</w:t>
      </w:r>
      <w:r w:rsidRPr="008630EC">
        <w:rPr>
          <w:rFonts w:ascii="Times New Roman" w:eastAsia="Calibri" w:hAnsi="Times New Roman"/>
          <w:bCs/>
          <w:sz w:val="28"/>
          <w:szCs w:val="28"/>
          <w:lang w:val="bg-BG"/>
        </w:rPr>
        <w:t xml:space="preserve"> и контрол от Комисията за финансов надзор.</w:t>
      </w:r>
    </w:p>
    <w:p w14:paraId="21C9E356" w14:textId="77777777" w:rsidR="00C16205" w:rsidRDefault="00C16205" w:rsidP="00AF32C1">
      <w:pPr>
        <w:spacing w:line="360" w:lineRule="auto"/>
        <w:ind w:firstLine="1134"/>
        <w:jc w:val="both"/>
        <w:rPr>
          <w:rFonts w:ascii="Times New Roman" w:eastAsia="Calibri" w:hAnsi="Times New Roman"/>
          <w:b/>
          <w:bCs/>
          <w:sz w:val="28"/>
          <w:szCs w:val="28"/>
          <w:lang w:val="bg-BG"/>
        </w:rPr>
      </w:pPr>
    </w:p>
    <w:p w14:paraId="3C45F5EB" w14:textId="59231F1A" w:rsidR="008630EC" w:rsidRPr="008630EC" w:rsidRDefault="008630EC" w:rsidP="00AF32C1">
      <w:pPr>
        <w:spacing w:line="360" w:lineRule="auto"/>
        <w:ind w:firstLine="1134"/>
        <w:jc w:val="both"/>
        <w:rPr>
          <w:rFonts w:ascii="Times New Roman" w:eastAsia="Calibri" w:hAnsi="Times New Roman"/>
          <w:b/>
          <w:bCs/>
          <w:sz w:val="28"/>
          <w:szCs w:val="28"/>
          <w:lang w:val="bg-BG"/>
        </w:rPr>
      </w:pPr>
      <w:r w:rsidRPr="008630EC">
        <w:rPr>
          <w:rFonts w:ascii="Times New Roman" w:eastAsia="Calibri" w:hAnsi="Times New Roman"/>
          <w:b/>
          <w:bCs/>
          <w:sz w:val="28"/>
          <w:szCs w:val="28"/>
          <w:lang w:val="bg-BG"/>
        </w:rPr>
        <w:lastRenderedPageBreak/>
        <w:t>3. Непълнота на уредбата, налагаща други изменения, произтичащи от актове от правото на Европейския съюз</w:t>
      </w:r>
    </w:p>
    <w:p w14:paraId="62F806F8" w14:textId="7698BB64" w:rsidR="008630EC" w:rsidRPr="008630EC" w:rsidRDefault="008630EC" w:rsidP="00AF32C1">
      <w:pPr>
        <w:spacing w:line="360" w:lineRule="auto"/>
        <w:ind w:firstLine="1134"/>
        <w:jc w:val="both"/>
        <w:rPr>
          <w:rFonts w:ascii="Times New Roman" w:hAnsi="Times New Roman"/>
          <w:bCs/>
          <w:sz w:val="28"/>
          <w:szCs w:val="28"/>
          <w:lang w:val="bg-BG"/>
        </w:rPr>
      </w:pPr>
      <w:r w:rsidRPr="008630EC">
        <w:rPr>
          <w:rFonts w:ascii="Times New Roman" w:hAnsi="Times New Roman"/>
          <w:bCs/>
          <w:sz w:val="28"/>
          <w:szCs w:val="28"/>
          <w:lang w:val="bg-BG"/>
        </w:rPr>
        <w:t xml:space="preserve">Отмяната на Регламент (ЕС) № 1031/2010 на Комисията от 12 ноември 2010 г. относно графика, управлението и други аспекти на търга на квоти за емисии на парникови газове съгласно Директива 2003/87/ЕО на Европейския парламент и на Съвета за установяване на схема за търговия с квоти за емисии на парникови газове в рамките на Общността извършена с приемането на Делегиран регламент </w:t>
      </w:r>
      <w:r w:rsidR="004C7856">
        <w:rPr>
          <w:rFonts w:ascii="Times New Roman" w:hAnsi="Times New Roman"/>
          <w:bCs/>
          <w:sz w:val="28"/>
          <w:szCs w:val="28"/>
          <w:lang w:val="bg-BG"/>
        </w:rPr>
        <w:br/>
      </w:r>
      <w:r w:rsidRPr="008630EC">
        <w:rPr>
          <w:rFonts w:ascii="Times New Roman" w:hAnsi="Times New Roman"/>
          <w:bCs/>
          <w:sz w:val="28"/>
          <w:szCs w:val="28"/>
          <w:lang w:val="bg-BG"/>
        </w:rPr>
        <w:t>(ЕС) 2023/2830 изисква ясно да се уреди нормативно разпределение на правомощията между Комисията за финансов надзор и Българската народна банка за издаване на разрешение за участие в търговията на инвестиционни посредници и кредитни институции, съответно на изискванията за отказ от издаване на разрешение във връзка с</w:t>
      </w:r>
      <w:r w:rsidRPr="008630EC">
        <w:rPr>
          <w:rFonts w:ascii="Times New Roman" w:eastAsia="Calibri" w:hAnsi="Times New Roman"/>
          <w:color w:val="000000" w:themeColor="text1"/>
          <w:sz w:val="28"/>
          <w:szCs w:val="28"/>
          <w:lang w:val="bg-BG"/>
        </w:rPr>
        <w:t xml:space="preserve"> квотите за емисии на парникови газове</w:t>
      </w:r>
      <w:r w:rsidRPr="008630EC">
        <w:rPr>
          <w:rFonts w:ascii="Times New Roman" w:hAnsi="Times New Roman"/>
          <w:bCs/>
          <w:sz w:val="28"/>
          <w:szCs w:val="28"/>
          <w:lang w:val="bg-BG"/>
        </w:rPr>
        <w:t>. Това налага приемането на изменения на националната уредба в Закона за пазарите на финансови инструменти, както и в Закона за кредитните институции с цел прецизиране разпределението на правомощията между институциите при предоставяне на разрешение за търговия с квоти за емисии на инвестиционните посредници.</w:t>
      </w:r>
    </w:p>
    <w:p w14:paraId="603046B0" w14:textId="23DA821A" w:rsidR="008630EC" w:rsidRPr="008630EC" w:rsidRDefault="008630EC" w:rsidP="00AF32C1">
      <w:pPr>
        <w:spacing w:line="360" w:lineRule="auto"/>
        <w:ind w:firstLine="1134"/>
        <w:jc w:val="both"/>
        <w:rPr>
          <w:rFonts w:ascii="Times New Roman" w:hAnsi="Times New Roman"/>
          <w:bCs/>
          <w:sz w:val="28"/>
          <w:szCs w:val="28"/>
          <w:lang w:val="bg-BG"/>
        </w:rPr>
      </w:pPr>
      <w:r w:rsidRPr="008630EC">
        <w:rPr>
          <w:rFonts w:ascii="Times New Roman" w:hAnsi="Times New Roman"/>
          <w:bCs/>
          <w:sz w:val="28"/>
          <w:szCs w:val="28"/>
          <w:lang w:val="bg-BG"/>
        </w:rPr>
        <w:t xml:space="preserve">С оглед </w:t>
      </w:r>
      <w:r w:rsidR="004C7856">
        <w:rPr>
          <w:rFonts w:ascii="Times New Roman" w:hAnsi="Times New Roman"/>
          <w:bCs/>
          <w:sz w:val="28"/>
          <w:szCs w:val="28"/>
          <w:lang w:val="bg-BG"/>
        </w:rPr>
        <w:t xml:space="preserve">на </w:t>
      </w:r>
      <w:r w:rsidRPr="008630EC">
        <w:rPr>
          <w:rFonts w:ascii="Times New Roman" w:hAnsi="Times New Roman"/>
          <w:bCs/>
          <w:sz w:val="28"/>
          <w:szCs w:val="28"/>
          <w:lang w:val="bg-BG"/>
        </w:rPr>
        <w:t xml:space="preserve">осигуряване на мерки по прилагането на Регламент (ЕС) 2025/914 за изменение на Регламент (ЕС) 2016/1011 по отношение на обхвата на правилата за </w:t>
      </w:r>
      <w:proofErr w:type="spellStart"/>
      <w:r w:rsidRPr="008630EC">
        <w:rPr>
          <w:rFonts w:ascii="Times New Roman" w:hAnsi="Times New Roman"/>
          <w:bCs/>
          <w:sz w:val="28"/>
          <w:szCs w:val="28"/>
          <w:lang w:val="bg-BG"/>
        </w:rPr>
        <w:t>бенчмарковете</w:t>
      </w:r>
      <w:proofErr w:type="spellEnd"/>
      <w:r w:rsidRPr="008630EC">
        <w:rPr>
          <w:rFonts w:ascii="Times New Roman" w:hAnsi="Times New Roman"/>
          <w:bCs/>
          <w:sz w:val="28"/>
          <w:szCs w:val="28"/>
          <w:lang w:val="bg-BG"/>
        </w:rPr>
        <w:t xml:space="preserve"> се предлагат изменения и допълнения в Закона за пазарите на финансови инструменти, Закона за </w:t>
      </w:r>
      <w:proofErr w:type="spellStart"/>
      <w:r w:rsidRPr="008630EC">
        <w:rPr>
          <w:rFonts w:ascii="Times New Roman" w:hAnsi="Times New Roman"/>
          <w:bCs/>
          <w:sz w:val="28"/>
          <w:szCs w:val="28"/>
          <w:lang w:val="bg-BG"/>
        </w:rPr>
        <w:t>платежнтие</w:t>
      </w:r>
      <w:proofErr w:type="spellEnd"/>
      <w:r w:rsidRPr="008630EC">
        <w:rPr>
          <w:rFonts w:ascii="Times New Roman" w:hAnsi="Times New Roman"/>
          <w:bCs/>
          <w:sz w:val="28"/>
          <w:szCs w:val="28"/>
          <w:lang w:val="bg-BG"/>
        </w:rPr>
        <w:t xml:space="preserve"> услуги и платежните системи, Закона за Българската народна банка и в Закона за Комисията за финансов надзор относно разпределението на правомощия между националните органи във връзка с режимите за одобр</w:t>
      </w:r>
      <w:r w:rsidR="006C0DB0">
        <w:rPr>
          <w:rFonts w:ascii="Times New Roman" w:hAnsi="Times New Roman"/>
          <w:bCs/>
          <w:sz w:val="28"/>
          <w:szCs w:val="28"/>
          <w:lang w:val="bg-BG"/>
        </w:rPr>
        <w:t>яване</w:t>
      </w:r>
      <w:r w:rsidRPr="008630EC">
        <w:rPr>
          <w:rFonts w:ascii="Times New Roman" w:hAnsi="Times New Roman"/>
          <w:bCs/>
          <w:sz w:val="28"/>
          <w:szCs w:val="28"/>
          <w:lang w:val="bg-BG"/>
        </w:rPr>
        <w:t xml:space="preserve"> и надзор на </w:t>
      </w:r>
      <w:proofErr w:type="spellStart"/>
      <w:r w:rsidRPr="008630EC">
        <w:rPr>
          <w:rFonts w:ascii="Times New Roman" w:hAnsi="Times New Roman"/>
          <w:bCs/>
          <w:sz w:val="28"/>
          <w:szCs w:val="28"/>
          <w:lang w:val="bg-BG"/>
        </w:rPr>
        <w:t>бенчмаркове</w:t>
      </w:r>
      <w:proofErr w:type="spellEnd"/>
      <w:r w:rsidRPr="008630EC">
        <w:rPr>
          <w:rFonts w:ascii="Times New Roman" w:hAnsi="Times New Roman"/>
          <w:bCs/>
          <w:sz w:val="28"/>
          <w:szCs w:val="28"/>
          <w:lang w:val="bg-BG"/>
        </w:rPr>
        <w:t>.</w:t>
      </w:r>
    </w:p>
    <w:p w14:paraId="3714ABAC" w14:textId="77777777" w:rsidR="008630EC" w:rsidRPr="008630EC" w:rsidRDefault="008630EC" w:rsidP="00AF32C1">
      <w:pPr>
        <w:spacing w:line="360" w:lineRule="auto"/>
        <w:ind w:firstLine="1134"/>
        <w:jc w:val="both"/>
        <w:rPr>
          <w:rFonts w:ascii="Times New Roman" w:hAnsi="Times New Roman"/>
          <w:bCs/>
          <w:sz w:val="28"/>
          <w:szCs w:val="28"/>
          <w:lang w:val="bg-BG"/>
        </w:rPr>
      </w:pPr>
    </w:p>
    <w:p w14:paraId="2F0AC83E" w14:textId="77777777" w:rsidR="008630EC" w:rsidRPr="008630EC" w:rsidRDefault="008630EC" w:rsidP="00AF32C1">
      <w:pPr>
        <w:spacing w:line="360" w:lineRule="auto"/>
        <w:ind w:firstLine="1134"/>
        <w:jc w:val="both"/>
        <w:rPr>
          <w:rFonts w:ascii="Times New Roman" w:hAnsi="Times New Roman"/>
          <w:b/>
          <w:bCs/>
          <w:sz w:val="28"/>
          <w:szCs w:val="28"/>
          <w:lang w:val="en-US"/>
        </w:rPr>
      </w:pPr>
      <w:r w:rsidRPr="008630EC">
        <w:rPr>
          <w:rFonts w:ascii="Times New Roman" w:eastAsia="Calibri" w:hAnsi="Times New Roman"/>
          <w:b/>
          <w:sz w:val="28"/>
          <w:szCs w:val="28"/>
          <w:lang w:val="bg-BG"/>
        </w:rPr>
        <w:lastRenderedPageBreak/>
        <w:t>4</w:t>
      </w:r>
      <w:r w:rsidRPr="008630EC">
        <w:rPr>
          <w:rFonts w:ascii="Times New Roman" w:eastAsia="Calibri" w:hAnsi="Times New Roman"/>
          <w:b/>
          <w:sz w:val="28"/>
          <w:szCs w:val="28"/>
          <w:lang w:val="en-US"/>
        </w:rPr>
        <w:t>.</w:t>
      </w:r>
      <w:r w:rsidRPr="008630EC">
        <w:rPr>
          <w:rFonts w:ascii="Times New Roman" w:hAnsi="Times New Roman"/>
          <w:b/>
          <w:bCs/>
          <w:sz w:val="28"/>
          <w:szCs w:val="28"/>
          <w:lang w:val="bg-BG"/>
        </w:rPr>
        <w:t xml:space="preserve"> </w:t>
      </w:r>
      <w:r w:rsidRPr="008630EC">
        <w:rPr>
          <w:rFonts w:ascii="Times New Roman" w:eastAsia="Calibri" w:hAnsi="Times New Roman"/>
          <w:b/>
          <w:bCs/>
          <w:sz w:val="28"/>
          <w:szCs w:val="28"/>
          <w:lang w:val="bg-BG"/>
        </w:rPr>
        <w:t xml:space="preserve">Необходимост от актуализиране на имуществените санкции и глобите в евро, налагани по реда на Закона за дейността на колективните инвестиционни схеми и на други предприятия за колективно инвестиране, Закона за публичното предлагане на ценни книжа, Закона за прилагане на мерките срещу пазарните злоупотреби с финансови инструменти, Закона за пазарите на </w:t>
      </w:r>
      <w:proofErr w:type="spellStart"/>
      <w:r w:rsidRPr="008630EC">
        <w:rPr>
          <w:rFonts w:ascii="Times New Roman" w:eastAsia="Calibri" w:hAnsi="Times New Roman"/>
          <w:b/>
          <w:bCs/>
          <w:sz w:val="28"/>
          <w:szCs w:val="28"/>
          <w:lang w:val="bg-BG"/>
        </w:rPr>
        <w:t>криптоактиви</w:t>
      </w:r>
      <w:proofErr w:type="spellEnd"/>
      <w:r w:rsidRPr="008630EC">
        <w:rPr>
          <w:rFonts w:ascii="Times New Roman" w:eastAsia="Calibri" w:hAnsi="Times New Roman"/>
          <w:b/>
          <w:bCs/>
          <w:sz w:val="28"/>
          <w:szCs w:val="28"/>
          <w:lang w:val="bg-BG"/>
        </w:rPr>
        <w:t xml:space="preserve"> и Закона за дружествата със специална инвестиционна цел и за дружествата за секюритизация и поясняване на правомощията на Комисията за финансов надзор в Закона за Комисията финансов надзор</w:t>
      </w:r>
    </w:p>
    <w:p w14:paraId="4BB0B56F" w14:textId="10BDD58C" w:rsidR="008630EC" w:rsidRPr="008630EC" w:rsidRDefault="008630EC" w:rsidP="00AF32C1">
      <w:pPr>
        <w:spacing w:line="360" w:lineRule="auto"/>
        <w:ind w:firstLine="1134"/>
        <w:jc w:val="both"/>
        <w:rPr>
          <w:rFonts w:ascii="Times New Roman" w:eastAsia="Calibri" w:hAnsi="Times New Roman"/>
          <w:bCs/>
          <w:sz w:val="28"/>
          <w:szCs w:val="28"/>
          <w:lang w:val="bg-BG"/>
        </w:rPr>
      </w:pPr>
      <w:r w:rsidRPr="008630EC">
        <w:rPr>
          <w:rFonts w:ascii="Times New Roman" w:hAnsi="Times New Roman"/>
          <w:bCs/>
          <w:sz w:val="28"/>
          <w:szCs w:val="28"/>
          <w:lang w:val="bg-BG"/>
        </w:rPr>
        <w:t>Във връзка с въвеждането на еврото като официална валута в Република България с</w:t>
      </w:r>
      <w:r w:rsidRPr="008630EC">
        <w:rPr>
          <w:rFonts w:ascii="Times New Roman" w:eastAsia="Calibri" w:hAnsi="Times New Roman"/>
          <w:bCs/>
          <w:sz w:val="28"/>
          <w:szCs w:val="28"/>
          <w:lang w:val="bg-BG"/>
        </w:rPr>
        <w:t xml:space="preserve"> проекта на ЗИД на ЗДКИСДПКИ се предлагат изменения в Закона за дейността на колективните инвестиционни схеми и на други предприятия за колективно инвестиране, Закона за публичното предлагане на ценни книжа, Закона за прилагане на мерките срещу пазарните злоупотреби с финансови инструменти Закона за пазарите на </w:t>
      </w:r>
      <w:proofErr w:type="spellStart"/>
      <w:r w:rsidRPr="008630EC">
        <w:rPr>
          <w:rFonts w:ascii="Times New Roman" w:eastAsia="Calibri" w:hAnsi="Times New Roman"/>
          <w:bCs/>
          <w:sz w:val="28"/>
          <w:szCs w:val="28"/>
          <w:lang w:val="bg-BG"/>
        </w:rPr>
        <w:t>криптоактиви</w:t>
      </w:r>
      <w:proofErr w:type="spellEnd"/>
      <w:r w:rsidRPr="008630EC">
        <w:rPr>
          <w:rFonts w:ascii="Times New Roman" w:eastAsia="Calibri" w:hAnsi="Times New Roman"/>
          <w:bCs/>
          <w:sz w:val="28"/>
          <w:szCs w:val="28"/>
          <w:lang w:val="bg-BG"/>
        </w:rPr>
        <w:t xml:space="preserve"> и Закона за дружествата със специална инвестиционна цел и за дружествата за секюритизация като се предлага санкциите и глобите да бъдат посочени в евро.</w:t>
      </w:r>
    </w:p>
    <w:p w14:paraId="552D4508" w14:textId="5DB614E1" w:rsidR="008630EC" w:rsidRPr="008630EC" w:rsidRDefault="008630EC" w:rsidP="00AF32C1">
      <w:pPr>
        <w:spacing w:line="360" w:lineRule="auto"/>
        <w:ind w:firstLine="1134"/>
        <w:jc w:val="both"/>
        <w:rPr>
          <w:rFonts w:ascii="Times New Roman" w:eastAsia="Calibri" w:hAnsi="Times New Roman"/>
          <w:bCs/>
          <w:sz w:val="28"/>
          <w:szCs w:val="28"/>
          <w:lang w:val="bg-BG"/>
        </w:rPr>
      </w:pPr>
      <w:r w:rsidRPr="008630EC">
        <w:rPr>
          <w:rFonts w:ascii="Times New Roman" w:eastAsia="Calibri" w:hAnsi="Times New Roman"/>
          <w:bCs/>
          <w:sz w:val="28"/>
          <w:szCs w:val="28"/>
          <w:lang w:val="bg-BG"/>
        </w:rPr>
        <w:t>В допълнение се предлагат и изменения в Закона за Комисията за финансов надзор в следните насоки:</w:t>
      </w:r>
    </w:p>
    <w:p w14:paraId="44BE185A" w14:textId="5C46CCE1" w:rsidR="008630EC" w:rsidRPr="008630EC" w:rsidRDefault="008630EC" w:rsidP="00AF32C1">
      <w:pPr>
        <w:spacing w:line="360" w:lineRule="auto"/>
        <w:ind w:firstLine="1134"/>
        <w:jc w:val="both"/>
        <w:rPr>
          <w:rFonts w:ascii="Times New Roman" w:eastAsia="Calibri" w:hAnsi="Times New Roman"/>
          <w:bCs/>
          <w:sz w:val="28"/>
          <w:szCs w:val="28"/>
          <w:lang w:val="bg-BG"/>
        </w:rPr>
      </w:pPr>
      <w:r w:rsidRPr="008630EC">
        <w:rPr>
          <w:rFonts w:ascii="Times New Roman" w:eastAsia="Calibri" w:hAnsi="Times New Roman"/>
          <w:bCs/>
          <w:sz w:val="28"/>
          <w:szCs w:val="28"/>
          <w:lang w:val="bg-BG"/>
        </w:rPr>
        <w:t xml:space="preserve">На основание чл. 13, ал. 1, т. 19, буква „а“ от Закона за Комисията за финансов надзор, органът има правомощия да предявява искове за установяване на недопустимост или нищожност на вписвания в търговския регистър, както и за несъществуване на вписано обстоятелство. Това са исковете с правна квалификация по чл. 29, ал. 1 от Закона за търговския регистър и регистъра на юридическите лица с нестопанска цел. Искът по чл. 29, ал. 1 от Закона за търговския регистър и регистъра на юридическите лица с нестопанска цел е предвиден за защита срещу пороци на вече </w:t>
      </w:r>
      <w:r w:rsidRPr="008630EC">
        <w:rPr>
          <w:rFonts w:ascii="Times New Roman" w:eastAsia="Calibri" w:hAnsi="Times New Roman"/>
          <w:bCs/>
          <w:sz w:val="28"/>
          <w:szCs w:val="28"/>
          <w:lang w:val="bg-BG"/>
        </w:rPr>
        <w:lastRenderedPageBreak/>
        <w:t xml:space="preserve">извършени вписвания, като в този смисъл разяснения са дадени </w:t>
      </w:r>
      <w:r w:rsidR="006C0DB0">
        <w:rPr>
          <w:rFonts w:ascii="Times New Roman" w:eastAsia="Calibri" w:hAnsi="Times New Roman"/>
          <w:bCs/>
          <w:sz w:val="28"/>
          <w:szCs w:val="28"/>
          <w:lang w:val="bg-BG"/>
        </w:rPr>
        <w:br/>
      </w:r>
      <w:r w:rsidRPr="008630EC">
        <w:rPr>
          <w:rFonts w:ascii="Times New Roman" w:eastAsia="Calibri" w:hAnsi="Times New Roman"/>
          <w:bCs/>
          <w:sz w:val="28"/>
          <w:szCs w:val="28"/>
          <w:lang w:val="bg-BG"/>
        </w:rPr>
        <w:t xml:space="preserve">в Тълкувателно решение № 1 от 06.12.2002 г., поставено по </w:t>
      </w:r>
      <w:r w:rsidR="006C0DB0">
        <w:rPr>
          <w:rFonts w:ascii="Times New Roman" w:eastAsia="Calibri" w:hAnsi="Times New Roman"/>
          <w:bCs/>
          <w:sz w:val="28"/>
          <w:szCs w:val="28"/>
          <w:lang w:val="bg-BG"/>
        </w:rPr>
        <w:br/>
      </w:r>
      <w:proofErr w:type="spellStart"/>
      <w:r w:rsidRPr="008630EC">
        <w:rPr>
          <w:rFonts w:ascii="Times New Roman" w:eastAsia="Calibri" w:hAnsi="Times New Roman"/>
          <w:bCs/>
          <w:sz w:val="28"/>
          <w:szCs w:val="28"/>
          <w:lang w:val="bg-BG"/>
        </w:rPr>
        <w:t>тълк.д</w:t>
      </w:r>
      <w:proofErr w:type="spellEnd"/>
      <w:r w:rsidRPr="008630EC">
        <w:rPr>
          <w:rFonts w:ascii="Times New Roman" w:eastAsia="Calibri" w:hAnsi="Times New Roman"/>
          <w:bCs/>
          <w:sz w:val="28"/>
          <w:szCs w:val="28"/>
          <w:lang w:val="bg-BG"/>
        </w:rPr>
        <w:t xml:space="preserve">. № 1/2002 г. на ОСГК на ВКС. За да се постанови спиране на регистърното производство, е необходимо да се подаде иск по чл. 536 от Гражданския процесуален кодекс във връзка с чл. 19, ал. 6 от Закона за търговския регистър и регистъра на юридическите лица с нестопанска цел. След сезиране на съда с искане за спиране на регистърно производство съдът следва да установи и да се произнесе за наличието на всички законови предпоставки за извършване на такова спиране. С оглед </w:t>
      </w:r>
      <w:r w:rsidR="006C0DB0">
        <w:rPr>
          <w:rFonts w:ascii="Times New Roman" w:eastAsia="Calibri" w:hAnsi="Times New Roman"/>
          <w:bCs/>
          <w:sz w:val="28"/>
          <w:szCs w:val="28"/>
          <w:lang w:val="bg-BG"/>
        </w:rPr>
        <w:t xml:space="preserve">на </w:t>
      </w:r>
      <w:r w:rsidRPr="008630EC">
        <w:rPr>
          <w:rFonts w:ascii="Times New Roman" w:eastAsia="Calibri" w:hAnsi="Times New Roman"/>
          <w:bCs/>
          <w:sz w:val="28"/>
          <w:szCs w:val="28"/>
          <w:lang w:val="bg-BG"/>
        </w:rPr>
        <w:t>прецизиране на нормата на чл. 13, ал. 1, буква „а“ се предлага поясняване, че органът може да иска спиране на висящо регистърно производство.</w:t>
      </w:r>
    </w:p>
    <w:p w14:paraId="4BB9035F" w14:textId="16CEAA70" w:rsidR="008630EC" w:rsidRPr="008630EC" w:rsidRDefault="008630EC" w:rsidP="00AF32C1">
      <w:pPr>
        <w:spacing w:line="360" w:lineRule="auto"/>
        <w:ind w:firstLine="1134"/>
        <w:jc w:val="both"/>
        <w:rPr>
          <w:rFonts w:ascii="Times New Roman" w:eastAsia="Calibri" w:hAnsi="Times New Roman"/>
          <w:bCs/>
          <w:sz w:val="28"/>
          <w:szCs w:val="28"/>
          <w:lang w:val="bg-BG"/>
        </w:rPr>
      </w:pPr>
      <w:r w:rsidRPr="008630EC">
        <w:rPr>
          <w:rFonts w:ascii="Times New Roman" w:eastAsia="Calibri" w:hAnsi="Times New Roman"/>
          <w:bCs/>
          <w:sz w:val="28"/>
          <w:szCs w:val="28"/>
          <w:lang w:val="bg-BG"/>
        </w:rPr>
        <w:t xml:space="preserve">Също така се предлага пояснение, че в правомощията на Комисията за финансов надзор е и правото да поиска от съда прогласяване </w:t>
      </w:r>
      <w:r w:rsidR="006C0DB0">
        <w:rPr>
          <w:rFonts w:ascii="Times New Roman" w:eastAsia="Calibri" w:hAnsi="Times New Roman"/>
          <w:bCs/>
          <w:sz w:val="28"/>
          <w:szCs w:val="28"/>
          <w:lang w:val="bg-BG"/>
        </w:rPr>
        <w:t xml:space="preserve">на </w:t>
      </w:r>
      <w:r w:rsidRPr="008630EC">
        <w:rPr>
          <w:rFonts w:ascii="Times New Roman" w:eastAsia="Calibri" w:hAnsi="Times New Roman"/>
          <w:bCs/>
          <w:sz w:val="28"/>
          <w:szCs w:val="28"/>
          <w:lang w:val="bg-BG"/>
        </w:rPr>
        <w:t xml:space="preserve">нищожност на сделки, свързани с дейността на </w:t>
      </w:r>
      <w:proofErr w:type="spellStart"/>
      <w:r w:rsidRPr="008630EC">
        <w:rPr>
          <w:rFonts w:ascii="Times New Roman" w:eastAsia="Calibri" w:hAnsi="Times New Roman"/>
          <w:bCs/>
          <w:sz w:val="28"/>
          <w:szCs w:val="28"/>
          <w:lang w:val="bg-BG"/>
        </w:rPr>
        <w:t>поднадзорните</w:t>
      </w:r>
      <w:proofErr w:type="spellEnd"/>
      <w:r w:rsidRPr="008630EC">
        <w:rPr>
          <w:rFonts w:ascii="Times New Roman" w:eastAsia="Calibri" w:hAnsi="Times New Roman"/>
          <w:bCs/>
          <w:sz w:val="28"/>
          <w:szCs w:val="28"/>
          <w:lang w:val="bg-BG"/>
        </w:rPr>
        <w:t xml:space="preserve"> й лица, сключени в нарушение на секторните закони, по които има компетентност. Следва да се отбележи, че понастоящем на основание чл. 13, ал. 1, т. 19, буква „б“ от Закона за Комисията за финансов надзор органът има правомощие да иска от съда прогласяване на нищожност на сделки, свързани с дейността на контролираните от нея лица или сключени </w:t>
      </w:r>
      <w:r w:rsidR="006C0DB0">
        <w:rPr>
          <w:rFonts w:ascii="Times New Roman" w:eastAsia="Calibri" w:hAnsi="Times New Roman"/>
          <w:bCs/>
          <w:sz w:val="28"/>
          <w:szCs w:val="28"/>
          <w:lang w:val="bg-BG"/>
        </w:rPr>
        <w:br/>
      </w:r>
      <w:r w:rsidRPr="008630EC">
        <w:rPr>
          <w:rFonts w:ascii="Times New Roman" w:eastAsia="Calibri" w:hAnsi="Times New Roman"/>
          <w:bCs/>
          <w:sz w:val="28"/>
          <w:szCs w:val="28"/>
          <w:lang w:val="bg-BG"/>
        </w:rPr>
        <w:t>в нарушение на Закона за публичното предлагане на ценни книжа и актовете по прилагането му.</w:t>
      </w:r>
    </w:p>
    <w:p w14:paraId="13C322B7" w14:textId="26500B85" w:rsidR="008630EC" w:rsidRPr="008630EC" w:rsidRDefault="008630EC" w:rsidP="00AF32C1">
      <w:pPr>
        <w:spacing w:line="360" w:lineRule="auto"/>
        <w:ind w:firstLine="1134"/>
        <w:jc w:val="both"/>
        <w:rPr>
          <w:rFonts w:ascii="Times New Roman" w:eastAsia="Calibri" w:hAnsi="Times New Roman"/>
          <w:bCs/>
          <w:sz w:val="28"/>
          <w:szCs w:val="28"/>
          <w:lang w:val="bg-BG"/>
        </w:rPr>
      </w:pPr>
      <w:r w:rsidRPr="008630EC">
        <w:rPr>
          <w:rFonts w:ascii="Times New Roman" w:eastAsia="Calibri" w:hAnsi="Times New Roman"/>
          <w:bCs/>
          <w:sz w:val="28"/>
          <w:szCs w:val="28"/>
          <w:lang w:val="bg-BG"/>
        </w:rPr>
        <w:t>В допълнение, съгласно чл. 2, ал. 4 от  Закона за Комисията за финансов надзор Комисията за финансов надзор при осъществяване на своите правомощия е независима от изпълнителната власт и се отчита за дейността си пред Народното събрание. В</w:t>
      </w:r>
      <w:r w:rsidR="006C0DB0">
        <w:rPr>
          <w:rFonts w:ascii="Times New Roman" w:eastAsia="Calibri" w:hAnsi="Times New Roman"/>
          <w:bCs/>
          <w:sz w:val="28"/>
          <w:szCs w:val="28"/>
          <w:lang w:val="bg-BG"/>
        </w:rPr>
        <w:t>ъв</w:t>
      </w:r>
      <w:r w:rsidRPr="008630EC">
        <w:rPr>
          <w:rFonts w:ascii="Times New Roman" w:eastAsia="Calibri" w:hAnsi="Times New Roman"/>
          <w:bCs/>
          <w:sz w:val="28"/>
          <w:szCs w:val="28"/>
          <w:lang w:val="bg-BG"/>
        </w:rPr>
        <w:t xml:space="preserve"> връзка </w:t>
      </w:r>
      <w:r w:rsidR="006C0DB0">
        <w:rPr>
          <w:rFonts w:ascii="Times New Roman" w:eastAsia="Calibri" w:hAnsi="Times New Roman"/>
          <w:bCs/>
          <w:sz w:val="28"/>
          <w:szCs w:val="28"/>
          <w:lang w:val="bg-BG"/>
        </w:rPr>
        <w:t xml:space="preserve">с това </w:t>
      </w:r>
      <w:r w:rsidRPr="008630EC">
        <w:rPr>
          <w:rFonts w:ascii="Times New Roman" w:eastAsia="Calibri" w:hAnsi="Times New Roman"/>
          <w:bCs/>
          <w:sz w:val="28"/>
          <w:szCs w:val="28"/>
          <w:lang w:val="bg-BG"/>
        </w:rPr>
        <w:t xml:space="preserve">статутът на Комисията за финансов надзор я изключва от кръга на органите, за които се прилага Законът за администрацията, но в практиката е налице противоречиво тълкуване. Прилагането на общите правила по Закона за администрацията поражда допълнителна административна тежест, като в </w:t>
      </w:r>
      <w:r w:rsidRPr="008630EC">
        <w:rPr>
          <w:rFonts w:ascii="Times New Roman" w:eastAsia="Calibri" w:hAnsi="Times New Roman"/>
          <w:bCs/>
          <w:sz w:val="28"/>
          <w:szCs w:val="28"/>
          <w:lang w:val="bg-BG"/>
        </w:rPr>
        <w:lastRenderedPageBreak/>
        <w:t xml:space="preserve">някои случаи се констатира несъответствие между общите и специфичните правила, което създава правна несигурност. Предложението цели гарантиране </w:t>
      </w:r>
      <w:r w:rsidR="00A63163">
        <w:rPr>
          <w:rFonts w:ascii="Times New Roman" w:eastAsia="Calibri" w:hAnsi="Times New Roman"/>
          <w:bCs/>
          <w:sz w:val="28"/>
          <w:szCs w:val="28"/>
          <w:lang w:val="bg-BG"/>
        </w:rPr>
        <w:t xml:space="preserve">на </w:t>
      </w:r>
      <w:r w:rsidRPr="008630EC">
        <w:rPr>
          <w:rFonts w:ascii="Times New Roman" w:eastAsia="Calibri" w:hAnsi="Times New Roman"/>
          <w:bCs/>
          <w:sz w:val="28"/>
          <w:szCs w:val="28"/>
          <w:lang w:val="bg-BG"/>
        </w:rPr>
        <w:t xml:space="preserve">независимостта на Комисията за финансов надзор, изследвана и от международните партньори на Република България и </w:t>
      </w:r>
      <w:r w:rsidR="00A63163">
        <w:rPr>
          <w:rFonts w:ascii="Times New Roman" w:eastAsia="Calibri" w:hAnsi="Times New Roman"/>
          <w:bCs/>
          <w:sz w:val="28"/>
          <w:szCs w:val="28"/>
          <w:lang w:val="bg-BG"/>
        </w:rPr>
        <w:br/>
      </w:r>
      <w:r w:rsidRPr="008630EC">
        <w:rPr>
          <w:rFonts w:ascii="Times New Roman" w:eastAsia="Calibri" w:hAnsi="Times New Roman"/>
          <w:bCs/>
          <w:sz w:val="28"/>
          <w:szCs w:val="28"/>
          <w:lang w:val="bg-BG"/>
        </w:rPr>
        <w:t>в частност</w:t>
      </w:r>
      <w:r w:rsidR="00A63163">
        <w:rPr>
          <w:rFonts w:ascii="Times New Roman" w:eastAsia="Calibri" w:hAnsi="Times New Roman"/>
          <w:bCs/>
          <w:sz w:val="28"/>
          <w:szCs w:val="28"/>
          <w:lang w:val="bg-BG"/>
        </w:rPr>
        <w:t xml:space="preserve"> от</w:t>
      </w:r>
      <w:r w:rsidRPr="008630EC">
        <w:rPr>
          <w:rFonts w:ascii="Times New Roman" w:eastAsia="Calibri" w:hAnsi="Times New Roman"/>
          <w:bCs/>
          <w:sz w:val="28"/>
          <w:szCs w:val="28"/>
          <w:lang w:val="bg-BG"/>
        </w:rPr>
        <w:t xml:space="preserve"> Организацията за икономическо сътрудничество и развитие.</w:t>
      </w:r>
    </w:p>
    <w:p w14:paraId="401779BB" w14:textId="77777777" w:rsidR="008630EC" w:rsidRPr="008630EC" w:rsidRDefault="008630EC" w:rsidP="00AF32C1">
      <w:pPr>
        <w:spacing w:line="360" w:lineRule="auto"/>
        <w:ind w:firstLine="1134"/>
        <w:jc w:val="both"/>
        <w:rPr>
          <w:rFonts w:ascii="Times New Roman" w:eastAsia="Calibri" w:hAnsi="Times New Roman"/>
          <w:bCs/>
          <w:sz w:val="28"/>
          <w:szCs w:val="28"/>
          <w:lang w:val="bg-BG"/>
        </w:rPr>
      </w:pPr>
      <w:r w:rsidRPr="008630EC">
        <w:rPr>
          <w:rFonts w:ascii="Times New Roman" w:eastAsia="Calibri" w:hAnsi="Times New Roman"/>
          <w:bCs/>
          <w:sz w:val="28"/>
          <w:szCs w:val="28"/>
          <w:lang w:val="bg-BG"/>
        </w:rPr>
        <w:t xml:space="preserve">Със законопроекта се предлага и допълнение по чл. 3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като в обхвата на забраните за дружествата, регистрирани в юрисдикции с преференциален данъчен режим, и на контролираните от тях лица се добавя забрана да участват в процедура по лицензиране като издател на </w:t>
      </w:r>
      <w:proofErr w:type="spellStart"/>
      <w:r w:rsidRPr="008630EC">
        <w:rPr>
          <w:rFonts w:ascii="Times New Roman" w:eastAsia="Calibri" w:hAnsi="Times New Roman"/>
          <w:bCs/>
          <w:sz w:val="28"/>
          <w:szCs w:val="28"/>
          <w:lang w:val="bg-BG"/>
        </w:rPr>
        <w:t>токени</w:t>
      </w:r>
      <w:proofErr w:type="spellEnd"/>
      <w:r w:rsidRPr="008630EC">
        <w:rPr>
          <w:rFonts w:ascii="Times New Roman" w:eastAsia="Calibri" w:hAnsi="Times New Roman"/>
          <w:bCs/>
          <w:sz w:val="28"/>
          <w:szCs w:val="28"/>
          <w:lang w:val="bg-BG"/>
        </w:rPr>
        <w:t xml:space="preserve">, обезпечени с активи, като доставчик на услуги за </w:t>
      </w:r>
      <w:proofErr w:type="spellStart"/>
      <w:r w:rsidRPr="008630EC">
        <w:rPr>
          <w:rFonts w:ascii="Times New Roman" w:eastAsia="Calibri" w:hAnsi="Times New Roman"/>
          <w:bCs/>
          <w:sz w:val="28"/>
          <w:szCs w:val="28"/>
          <w:lang w:val="bg-BG"/>
        </w:rPr>
        <w:t>криптоактиви</w:t>
      </w:r>
      <w:proofErr w:type="spellEnd"/>
      <w:r w:rsidRPr="008630EC">
        <w:rPr>
          <w:rFonts w:ascii="Times New Roman" w:eastAsia="Calibri" w:hAnsi="Times New Roman"/>
          <w:bCs/>
          <w:sz w:val="28"/>
          <w:szCs w:val="28"/>
          <w:lang w:val="bg-BG"/>
        </w:rPr>
        <w:t>, както и да придобиват квалифицирано дялово участие в такива лица. Забранява се също така да участват в процедура по лицензиране като доставчик на услуги за колективно финансиране или да придобиват квалифицирано дялово участие в такива дружества.</w:t>
      </w:r>
    </w:p>
    <w:p w14:paraId="5FA5DE10" w14:textId="10C7F6D9" w:rsidR="008630EC" w:rsidRPr="008630EC" w:rsidRDefault="008630EC" w:rsidP="00AF32C1">
      <w:pPr>
        <w:spacing w:line="360" w:lineRule="auto"/>
        <w:ind w:firstLine="1134"/>
        <w:jc w:val="both"/>
        <w:rPr>
          <w:rFonts w:ascii="Times New Roman" w:eastAsia="Calibri" w:hAnsi="Times New Roman"/>
          <w:bCs/>
          <w:sz w:val="28"/>
          <w:szCs w:val="28"/>
          <w:lang w:val="bg-BG"/>
        </w:rPr>
      </w:pPr>
      <w:r w:rsidRPr="008630EC">
        <w:rPr>
          <w:rFonts w:ascii="Times New Roman" w:eastAsia="Calibri" w:hAnsi="Times New Roman"/>
          <w:b/>
          <w:bCs/>
          <w:sz w:val="28"/>
          <w:szCs w:val="28"/>
          <w:lang w:val="bg-BG"/>
        </w:rPr>
        <w:t>5.</w:t>
      </w:r>
      <w:r w:rsidRPr="008630EC">
        <w:rPr>
          <w:rFonts w:ascii="Times New Roman" w:eastAsiaTheme="minorHAnsi" w:hAnsi="Times New Roman"/>
          <w:b/>
          <w:sz w:val="28"/>
          <w:szCs w:val="28"/>
          <w:lang w:val="bg-BG"/>
        </w:rPr>
        <w:t xml:space="preserve"> Със законопроекта се предлага допълнение и в Закона за обществените поръчки</w:t>
      </w:r>
      <w:r w:rsidRPr="008630EC">
        <w:rPr>
          <w:rFonts w:ascii="Times New Roman" w:eastAsiaTheme="minorHAnsi" w:hAnsi="Times New Roman"/>
          <w:sz w:val="28"/>
          <w:szCs w:val="28"/>
          <w:lang w:val="bg-BG"/>
        </w:rPr>
        <w:t xml:space="preserve"> във </w:t>
      </w:r>
      <w:r w:rsidRPr="008630EC">
        <w:rPr>
          <w:rFonts w:ascii="Times New Roman" w:eastAsia="Calibri" w:hAnsi="Times New Roman"/>
          <w:bCs/>
          <w:sz w:val="28"/>
          <w:szCs w:val="28"/>
          <w:lang w:val="bg-BG"/>
        </w:rPr>
        <w:t xml:space="preserve">връзка с поет ангажимент </w:t>
      </w:r>
      <w:r w:rsidR="00A63163">
        <w:rPr>
          <w:rFonts w:ascii="Times New Roman" w:eastAsia="Calibri" w:hAnsi="Times New Roman"/>
          <w:bCs/>
          <w:sz w:val="28"/>
          <w:szCs w:val="28"/>
          <w:lang w:val="bg-BG"/>
        </w:rPr>
        <w:t>от</w:t>
      </w:r>
      <w:r w:rsidRPr="008630EC">
        <w:rPr>
          <w:rFonts w:ascii="Times New Roman" w:eastAsia="Calibri" w:hAnsi="Times New Roman"/>
          <w:bCs/>
          <w:sz w:val="28"/>
          <w:szCs w:val="28"/>
          <w:lang w:val="bg-BG"/>
        </w:rPr>
        <w:t xml:space="preserve"> Република България към Европейската комисия в процеса на предоговаряне (по чл. 21 от Регламент (ЕС) 2021/241) на целите по Реформа </w:t>
      </w:r>
      <w:r w:rsidRPr="008630EC">
        <w:rPr>
          <w:rFonts w:ascii="Times New Roman" w:eastAsia="Calibri" w:hAnsi="Times New Roman"/>
          <w:bCs/>
          <w:sz w:val="28"/>
          <w:szCs w:val="28"/>
          <w:lang w:val="en-US"/>
        </w:rPr>
        <w:t>C</w:t>
      </w:r>
      <w:r w:rsidRPr="008630EC">
        <w:rPr>
          <w:rFonts w:ascii="Times New Roman" w:eastAsia="Calibri" w:hAnsi="Times New Roman"/>
          <w:bCs/>
          <w:sz w:val="28"/>
          <w:szCs w:val="28"/>
          <w:lang w:val="bg-BG"/>
        </w:rPr>
        <w:t>10</w:t>
      </w:r>
      <w:r w:rsidRPr="008630EC">
        <w:rPr>
          <w:rFonts w:ascii="Times New Roman" w:eastAsia="Calibri" w:hAnsi="Times New Roman"/>
          <w:bCs/>
          <w:sz w:val="28"/>
          <w:szCs w:val="28"/>
          <w:lang w:val="en-US"/>
        </w:rPr>
        <w:t>.R10</w:t>
      </w:r>
      <w:r w:rsidRPr="008630EC">
        <w:rPr>
          <w:rFonts w:ascii="Times New Roman" w:eastAsia="Calibri" w:hAnsi="Times New Roman"/>
          <w:bCs/>
          <w:sz w:val="28"/>
          <w:szCs w:val="28"/>
          <w:lang w:val="bg-BG"/>
        </w:rPr>
        <w:t xml:space="preserve"> Обществени поръчки от НПВУ, свързани с намаляване дела на процедурите на договаряне (</w:t>
      </w:r>
      <w:r w:rsidRPr="008630EC">
        <w:rPr>
          <w:rFonts w:ascii="Times New Roman" w:eastAsia="Calibri" w:hAnsi="Times New Roman"/>
          <w:bCs/>
          <w:sz w:val="28"/>
          <w:szCs w:val="28"/>
          <w:lang w:val="en-US"/>
        </w:rPr>
        <w:t>NCB</w:t>
      </w:r>
      <w:r w:rsidRPr="008630EC">
        <w:rPr>
          <w:rFonts w:ascii="Times New Roman" w:eastAsia="Calibri" w:hAnsi="Times New Roman"/>
          <w:bCs/>
          <w:sz w:val="28"/>
          <w:szCs w:val="28"/>
          <w:lang w:val="bg-BG"/>
        </w:rPr>
        <w:t xml:space="preserve"> – </w:t>
      </w:r>
      <w:r w:rsidRPr="008630EC">
        <w:rPr>
          <w:rFonts w:ascii="Times New Roman" w:eastAsia="Calibri" w:hAnsi="Times New Roman"/>
          <w:bCs/>
          <w:sz w:val="28"/>
          <w:szCs w:val="28"/>
          <w:lang w:val="en-US"/>
        </w:rPr>
        <w:t>no call for bids</w:t>
      </w:r>
      <w:r w:rsidRPr="008630EC">
        <w:rPr>
          <w:rFonts w:ascii="Times New Roman" w:eastAsia="Calibri" w:hAnsi="Times New Roman"/>
          <w:bCs/>
          <w:sz w:val="28"/>
          <w:szCs w:val="28"/>
          <w:lang w:val="bg-BG"/>
        </w:rPr>
        <w:t>)</w:t>
      </w:r>
      <w:r w:rsidR="00A63163">
        <w:rPr>
          <w:rFonts w:ascii="Times New Roman" w:eastAsia="Calibri" w:hAnsi="Times New Roman"/>
          <w:bCs/>
          <w:sz w:val="28"/>
          <w:szCs w:val="28"/>
          <w:lang w:val="bg-BG"/>
        </w:rPr>
        <w:t>,</w:t>
      </w:r>
      <w:r w:rsidRPr="008630EC">
        <w:rPr>
          <w:rFonts w:ascii="Times New Roman" w:eastAsia="Calibri" w:hAnsi="Times New Roman"/>
          <w:bCs/>
          <w:sz w:val="28"/>
          <w:szCs w:val="28"/>
          <w:lang w:val="bg-BG"/>
        </w:rPr>
        <w:t xml:space="preserve"> и на договорите, сключени въз основа на получена само една оферта (</w:t>
      </w:r>
      <w:r w:rsidRPr="008630EC">
        <w:rPr>
          <w:rFonts w:ascii="Times New Roman" w:eastAsia="Calibri" w:hAnsi="Times New Roman"/>
          <w:bCs/>
          <w:sz w:val="28"/>
          <w:szCs w:val="28"/>
          <w:lang w:val="en-US"/>
        </w:rPr>
        <w:t>SB – single bid</w:t>
      </w:r>
      <w:r w:rsidRPr="008630EC">
        <w:rPr>
          <w:rFonts w:ascii="Times New Roman" w:eastAsia="Calibri" w:hAnsi="Times New Roman"/>
          <w:bCs/>
          <w:sz w:val="28"/>
          <w:szCs w:val="28"/>
          <w:lang w:val="bg-BG"/>
        </w:rPr>
        <w:t xml:space="preserve">) и е елемент от </w:t>
      </w:r>
      <w:r w:rsidRPr="008630EC">
        <w:rPr>
          <w:rFonts w:ascii="Times New Roman" w:eastAsia="Calibri" w:hAnsi="Times New Roman"/>
          <w:b/>
          <w:bCs/>
          <w:sz w:val="28"/>
          <w:szCs w:val="28"/>
          <w:lang w:val="bg-BG"/>
        </w:rPr>
        <w:t xml:space="preserve">ключов </w:t>
      </w:r>
      <w:r w:rsidR="00A63163">
        <w:rPr>
          <w:rFonts w:ascii="Times New Roman" w:eastAsia="Calibri" w:hAnsi="Times New Roman"/>
          <w:b/>
          <w:bCs/>
          <w:sz w:val="28"/>
          <w:szCs w:val="28"/>
          <w:lang w:val="bg-BG"/>
        </w:rPr>
        <w:br/>
      </w:r>
      <w:r w:rsidRPr="008630EC">
        <w:rPr>
          <w:rFonts w:ascii="Times New Roman" w:eastAsia="Calibri" w:hAnsi="Times New Roman"/>
          <w:b/>
          <w:bCs/>
          <w:sz w:val="28"/>
          <w:szCs w:val="28"/>
          <w:lang w:val="bg-BG"/>
        </w:rPr>
        <w:t>етап 245а</w:t>
      </w:r>
      <w:r w:rsidRPr="008630EC">
        <w:rPr>
          <w:rFonts w:ascii="Times New Roman" w:eastAsia="Calibri" w:hAnsi="Times New Roman"/>
          <w:bCs/>
          <w:sz w:val="28"/>
          <w:szCs w:val="28"/>
          <w:lang w:val="bg-BG"/>
        </w:rPr>
        <w:t xml:space="preserve"> от Реформата, който е включен в пето</w:t>
      </w:r>
      <w:r w:rsidR="00A63163">
        <w:rPr>
          <w:rFonts w:ascii="Times New Roman" w:eastAsia="Calibri" w:hAnsi="Times New Roman"/>
          <w:bCs/>
          <w:sz w:val="28"/>
          <w:szCs w:val="28"/>
          <w:lang w:val="bg-BG"/>
        </w:rPr>
        <w:t>то</w:t>
      </w:r>
      <w:r w:rsidRPr="008630EC">
        <w:rPr>
          <w:rFonts w:ascii="Times New Roman" w:eastAsia="Calibri" w:hAnsi="Times New Roman"/>
          <w:bCs/>
          <w:sz w:val="28"/>
          <w:szCs w:val="28"/>
          <w:lang w:val="bg-BG"/>
        </w:rPr>
        <w:t xml:space="preserve"> плащане.</w:t>
      </w:r>
    </w:p>
    <w:p w14:paraId="7944F190" w14:textId="2880E7DB" w:rsidR="008630EC" w:rsidRPr="008630EC" w:rsidRDefault="008630EC" w:rsidP="00AF32C1">
      <w:pPr>
        <w:spacing w:line="360" w:lineRule="auto"/>
        <w:ind w:firstLine="1134"/>
        <w:jc w:val="both"/>
        <w:rPr>
          <w:rFonts w:ascii="Times New Roman" w:eastAsia="Calibri" w:hAnsi="Times New Roman"/>
          <w:bCs/>
          <w:sz w:val="28"/>
          <w:szCs w:val="28"/>
          <w:lang w:val="bg-BG"/>
        </w:rPr>
      </w:pPr>
      <w:r w:rsidRPr="008630EC">
        <w:rPr>
          <w:rFonts w:ascii="Times New Roman" w:eastAsia="Calibri" w:hAnsi="Times New Roman"/>
          <w:bCs/>
          <w:sz w:val="28"/>
          <w:szCs w:val="28"/>
          <w:lang w:val="bg-BG"/>
        </w:rPr>
        <w:t xml:space="preserve">С предложението се цели насърчаване на възложителите към постигане на по-добро планиране при организирането на процеса по възлагане на обществени поръчки, което от своя страна ще допринесе за по-добро постигане на целта на Закона за обществените поръчки, а именно </w:t>
      </w:r>
      <w:r w:rsidRPr="008630EC">
        <w:rPr>
          <w:rFonts w:ascii="Times New Roman" w:eastAsia="Calibri" w:hAnsi="Times New Roman"/>
          <w:bCs/>
          <w:sz w:val="28"/>
          <w:szCs w:val="28"/>
          <w:lang w:val="bg-BG"/>
        </w:rPr>
        <w:lastRenderedPageBreak/>
        <w:t xml:space="preserve">осигуряване в най-голяма степен на ефективност при разходването на публични средства, включително на средствата, предоставяни от европейски фондове и програми. Предвидена е и санкция, насочена към осигуряване </w:t>
      </w:r>
      <w:r w:rsidR="00A63163">
        <w:rPr>
          <w:rFonts w:ascii="Times New Roman" w:eastAsia="Calibri" w:hAnsi="Times New Roman"/>
          <w:bCs/>
          <w:sz w:val="28"/>
          <w:szCs w:val="28"/>
          <w:lang w:val="bg-BG"/>
        </w:rPr>
        <w:t xml:space="preserve">на </w:t>
      </w:r>
      <w:r w:rsidRPr="008630EC">
        <w:rPr>
          <w:rFonts w:ascii="Times New Roman" w:eastAsia="Calibri" w:hAnsi="Times New Roman"/>
          <w:bCs/>
          <w:sz w:val="28"/>
          <w:szCs w:val="28"/>
          <w:lang w:val="bg-BG"/>
        </w:rPr>
        <w:t>изпълнението на въведеното задължение и постигане целта на предлаганата промяна, което ще допринесе за реализиране на очакваните резултати.</w:t>
      </w:r>
    </w:p>
    <w:p w14:paraId="64F414C6" w14:textId="77777777" w:rsidR="008630EC" w:rsidRPr="008630EC" w:rsidRDefault="008630EC" w:rsidP="0044741E">
      <w:pPr>
        <w:ind w:firstLine="1134"/>
        <w:jc w:val="both"/>
        <w:rPr>
          <w:rFonts w:ascii="Times New Roman" w:eastAsia="Calibri" w:hAnsi="Times New Roman"/>
          <w:bCs/>
          <w:sz w:val="28"/>
          <w:szCs w:val="28"/>
          <w:lang w:val="bg-BG"/>
        </w:rPr>
      </w:pPr>
    </w:p>
    <w:p w14:paraId="02CDECB0" w14:textId="77777777" w:rsidR="008630EC" w:rsidRDefault="008630EC" w:rsidP="00AF32C1">
      <w:pPr>
        <w:spacing w:line="360" w:lineRule="auto"/>
        <w:ind w:firstLine="1134"/>
        <w:jc w:val="both"/>
        <w:rPr>
          <w:rFonts w:ascii="Times New Roman" w:eastAsia="Calibri" w:hAnsi="Times New Roman"/>
          <w:b/>
          <w:bCs/>
          <w:sz w:val="28"/>
          <w:szCs w:val="28"/>
          <w:lang w:val="bg-BG" w:eastAsia="bg-BG"/>
        </w:rPr>
      </w:pPr>
      <w:r w:rsidRPr="008630EC">
        <w:rPr>
          <w:rFonts w:ascii="Times New Roman" w:eastAsia="Calibri" w:hAnsi="Times New Roman"/>
          <w:b/>
          <w:bCs/>
          <w:sz w:val="28"/>
          <w:szCs w:val="28"/>
          <w:lang w:val="en-US" w:eastAsia="bg-BG"/>
        </w:rPr>
        <w:t xml:space="preserve">III. </w:t>
      </w:r>
      <w:r w:rsidRPr="008630EC">
        <w:rPr>
          <w:rFonts w:ascii="Times New Roman" w:eastAsia="Calibri" w:hAnsi="Times New Roman"/>
          <w:b/>
          <w:bCs/>
          <w:sz w:val="28"/>
          <w:szCs w:val="28"/>
          <w:lang w:val="bg-BG" w:eastAsia="bg-BG"/>
        </w:rPr>
        <w:t>Финансови средства, необходими за прилагането на новата уредба</w:t>
      </w:r>
    </w:p>
    <w:p w14:paraId="10C96049" w14:textId="77777777" w:rsidR="0044741E" w:rsidRPr="008630EC" w:rsidRDefault="0044741E" w:rsidP="0044741E">
      <w:pPr>
        <w:ind w:firstLine="1134"/>
        <w:jc w:val="both"/>
        <w:rPr>
          <w:rFonts w:ascii="Times New Roman" w:eastAsia="Calibri" w:hAnsi="Times New Roman"/>
          <w:b/>
          <w:bCs/>
          <w:sz w:val="28"/>
          <w:szCs w:val="28"/>
          <w:lang w:val="bg-BG" w:eastAsia="bg-BG"/>
        </w:rPr>
      </w:pPr>
    </w:p>
    <w:p w14:paraId="30FDDFF9" w14:textId="77777777" w:rsidR="008630EC" w:rsidRPr="008630EC" w:rsidRDefault="008630EC" w:rsidP="00AF32C1">
      <w:pPr>
        <w:spacing w:line="360" w:lineRule="auto"/>
        <w:ind w:firstLine="1134"/>
        <w:jc w:val="both"/>
        <w:rPr>
          <w:rFonts w:ascii="Times New Roman" w:hAnsi="Times New Roman"/>
          <w:sz w:val="28"/>
          <w:szCs w:val="28"/>
          <w:lang w:val="bg-BG"/>
        </w:rPr>
      </w:pPr>
      <w:r w:rsidRPr="008630EC">
        <w:rPr>
          <w:rFonts w:ascii="Times New Roman" w:hAnsi="Times New Roman"/>
          <w:sz w:val="28"/>
          <w:szCs w:val="28"/>
          <w:lang w:val="bg-BG"/>
        </w:rPr>
        <w:t xml:space="preserve">Прилагането на предвидените в Закона за изменение и допълнение на </w:t>
      </w:r>
      <w:proofErr w:type="spellStart"/>
      <w:r w:rsidRPr="008630EC">
        <w:rPr>
          <w:rFonts w:ascii="Times New Roman" w:hAnsi="Times New Roman"/>
          <w:sz w:val="28"/>
          <w:szCs w:val="28"/>
          <w:lang w:val="bg-BG"/>
        </w:rPr>
        <w:t>Законa</w:t>
      </w:r>
      <w:proofErr w:type="spellEnd"/>
      <w:r w:rsidRPr="008630EC">
        <w:rPr>
          <w:rFonts w:ascii="Times New Roman" w:hAnsi="Times New Roman"/>
          <w:sz w:val="28"/>
          <w:szCs w:val="28"/>
          <w:lang w:val="bg-BG"/>
        </w:rPr>
        <w:t xml:space="preserve"> за дейността на колективните инвестиционни схеми и на други предприятия за колективно инвестиране не е свързано с допълнителни разходи/трансфери/други плащания.</w:t>
      </w:r>
    </w:p>
    <w:p w14:paraId="16862A9B" w14:textId="77777777" w:rsidR="008630EC" w:rsidRPr="008630EC" w:rsidRDefault="008630EC" w:rsidP="00AF32C1">
      <w:pPr>
        <w:spacing w:line="360" w:lineRule="auto"/>
        <w:ind w:firstLine="1134"/>
        <w:jc w:val="both"/>
        <w:rPr>
          <w:rFonts w:ascii="Times New Roman" w:hAnsi="Times New Roman"/>
          <w:sz w:val="28"/>
          <w:szCs w:val="28"/>
          <w:lang w:val="bg-BG"/>
        </w:rPr>
      </w:pPr>
      <w:r w:rsidRPr="008630EC">
        <w:rPr>
          <w:rFonts w:ascii="Times New Roman" w:hAnsi="Times New Roman"/>
          <w:sz w:val="28"/>
          <w:szCs w:val="28"/>
          <w:lang w:val="bg-BG"/>
        </w:rPr>
        <w:t>Не се очаква увеличение на административната тежест за ЛУАИФ във връзка с регулаторното докладване, тъй като събирането и обменът на информация чрез надзорната отчетност ще бъде подобрено и намалено дублиращото се докладване. Възможно е ЛУАИФ, управляващи АИФ, които предоставят заеми, да имат допълнителни разходи поради новите изисквания към тях за управление на риска, за да се отчете специфичният кредитен риск, пред който са изправени тези фондове.</w:t>
      </w:r>
    </w:p>
    <w:p w14:paraId="341D29F1" w14:textId="12E11836" w:rsidR="008630EC" w:rsidRPr="008630EC" w:rsidRDefault="008630EC" w:rsidP="00AF32C1">
      <w:pPr>
        <w:spacing w:line="360" w:lineRule="auto"/>
        <w:ind w:firstLine="1134"/>
        <w:jc w:val="both"/>
        <w:rPr>
          <w:rFonts w:ascii="Times New Roman" w:hAnsi="Times New Roman"/>
          <w:sz w:val="28"/>
          <w:szCs w:val="28"/>
          <w:lang w:val="bg-BG"/>
        </w:rPr>
      </w:pPr>
      <w:r w:rsidRPr="008630EC">
        <w:rPr>
          <w:rFonts w:ascii="Times New Roman" w:hAnsi="Times New Roman"/>
          <w:sz w:val="28"/>
          <w:szCs w:val="28"/>
          <w:lang w:val="bg-BG"/>
        </w:rPr>
        <w:t xml:space="preserve">Изискването към управителите на фондове от отворен тип </w:t>
      </w:r>
      <w:r w:rsidR="00A63163">
        <w:rPr>
          <w:rFonts w:ascii="Times New Roman" w:hAnsi="Times New Roman"/>
          <w:sz w:val="28"/>
          <w:szCs w:val="28"/>
          <w:lang w:val="bg-BG"/>
        </w:rPr>
        <w:br/>
      </w:r>
      <w:r w:rsidRPr="008630EC">
        <w:rPr>
          <w:rFonts w:ascii="Times New Roman" w:hAnsi="Times New Roman"/>
          <w:sz w:val="28"/>
          <w:szCs w:val="28"/>
          <w:lang w:val="bg-BG"/>
        </w:rPr>
        <w:t xml:space="preserve">(АИФ и ПКИПЦК) да избират инструменти за управление на ликвидността, които да могат да активират при определени условия, би наложило промени в документацията на фонда (включително проспекта) за някои продукти, които понастоящем не разполагат с такива инструменти. Ползите за финансовата система оправдават тези еднократни разходи, тъй като мениджърите на фондовете ще могат да управляват ликвидния риск </w:t>
      </w:r>
      <w:r w:rsidR="00A63163">
        <w:rPr>
          <w:rFonts w:ascii="Times New Roman" w:hAnsi="Times New Roman"/>
          <w:sz w:val="28"/>
          <w:szCs w:val="28"/>
          <w:lang w:val="bg-BG"/>
        </w:rPr>
        <w:br/>
      </w:r>
      <w:r w:rsidRPr="008630EC">
        <w:rPr>
          <w:rFonts w:ascii="Times New Roman" w:hAnsi="Times New Roman"/>
          <w:sz w:val="28"/>
          <w:szCs w:val="28"/>
          <w:lang w:val="bg-BG"/>
        </w:rPr>
        <w:t xml:space="preserve">по-ефективно и да се въздържат от спешни продажби. Новосъздадените </w:t>
      </w:r>
      <w:r w:rsidRPr="008630EC">
        <w:rPr>
          <w:rFonts w:ascii="Times New Roman" w:hAnsi="Times New Roman"/>
          <w:sz w:val="28"/>
          <w:szCs w:val="28"/>
          <w:lang w:val="bg-BG"/>
        </w:rPr>
        <w:lastRenderedPageBreak/>
        <w:t>фондове няма да понасят разходи, тъй като допълнителните инструменти за управление на риска ще бъдат част от тяхното заявление за разрешение.</w:t>
      </w:r>
    </w:p>
    <w:p w14:paraId="5DDECDC7" w14:textId="6DB5777F" w:rsidR="008630EC" w:rsidRPr="008630EC" w:rsidRDefault="008630EC" w:rsidP="00AF32C1">
      <w:pPr>
        <w:spacing w:line="360" w:lineRule="auto"/>
        <w:ind w:firstLine="1134"/>
        <w:jc w:val="both"/>
        <w:rPr>
          <w:rFonts w:ascii="Times New Roman" w:hAnsi="Times New Roman"/>
          <w:sz w:val="28"/>
          <w:szCs w:val="28"/>
          <w:lang w:val="bg-BG"/>
        </w:rPr>
      </w:pPr>
      <w:r w:rsidRPr="008630EC">
        <w:rPr>
          <w:rFonts w:ascii="Times New Roman" w:hAnsi="Times New Roman"/>
          <w:sz w:val="28"/>
          <w:szCs w:val="28"/>
          <w:lang w:val="bg-BG"/>
        </w:rPr>
        <w:t>Приемането на измененията и допълненията</w:t>
      </w:r>
      <w:r w:rsidR="00A63163">
        <w:rPr>
          <w:rFonts w:ascii="Times New Roman" w:hAnsi="Times New Roman"/>
          <w:sz w:val="28"/>
          <w:szCs w:val="28"/>
          <w:lang w:val="bg-BG"/>
        </w:rPr>
        <w:t>,</w:t>
      </w:r>
      <w:r w:rsidRPr="008630EC">
        <w:rPr>
          <w:rFonts w:ascii="Times New Roman" w:hAnsi="Times New Roman"/>
          <w:sz w:val="28"/>
          <w:szCs w:val="28"/>
          <w:lang w:val="bg-BG"/>
        </w:rPr>
        <w:t xml:space="preserve"> свързани с въвеждането на мерки по прилагането на Регламент (ЕС) 2024/2809 изискванията и Директива (ЕС) 2024/2811 ще доведе до намаляване на административната тежест и разходите</w:t>
      </w:r>
      <w:r w:rsidR="003916AF">
        <w:rPr>
          <w:rFonts w:ascii="Times New Roman" w:hAnsi="Times New Roman"/>
          <w:sz w:val="28"/>
          <w:szCs w:val="28"/>
          <w:lang w:val="bg-BG"/>
        </w:rPr>
        <w:t>,</w:t>
      </w:r>
      <w:r w:rsidRPr="008630EC">
        <w:rPr>
          <w:rFonts w:ascii="Times New Roman" w:hAnsi="Times New Roman"/>
          <w:sz w:val="28"/>
          <w:szCs w:val="28"/>
          <w:lang w:val="bg-BG"/>
        </w:rPr>
        <w:t xml:space="preserve"> свързани с освобождаването от задължението за изготвяне на пълен проспект при малки публични предлагания (под новите прагове), опростените процедури за докладване и разкриване на информация намаляват разходите за емитентите (особено за МСП), разходите за регистриране на даден сегмент от МСТ като пазар за растеж на пазари.</w:t>
      </w:r>
    </w:p>
    <w:p w14:paraId="47893338" w14:textId="77777777" w:rsidR="008630EC" w:rsidRPr="008630EC" w:rsidRDefault="008630EC" w:rsidP="00AF32C1">
      <w:pPr>
        <w:spacing w:line="360" w:lineRule="auto"/>
        <w:ind w:firstLine="1134"/>
        <w:jc w:val="both"/>
        <w:rPr>
          <w:rFonts w:ascii="Times New Roman" w:hAnsi="Times New Roman"/>
          <w:sz w:val="28"/>
          <w:szCs w:val="28"/>
          <w:lang w:val="bg-BG"/>
        </w:rPr>
      </w:pPr>
      <w:r w:rsidRPr="008630EC">
        <w:rPr>
          <w:rFonts w:ascii="Times New Roman" w:hAnsi="Times New Roman"/>
          <w:sz w:val="28"/>
          <w:szCs w:val="28"/>
          <w:lang w:val="bg-BG"/>
        </w:rPr>
        <w:t>Във връзка с предложените изменения относно предоставянето на разрешения на инвестиционни посредници и кредитни институции за търговия с квоти за емисии в търгове за двудневен спот няма да има ефект върху съществуващите нива на административна тежест и разходи, тъй като се прецизират надзорните правомощия на Българската народна банка и Комисията за финансов надзор и не се изменя по същество действащия режим.</w:t>
      </w:r>
    </w:p>
    <w:p w14:paraId="757EC2B5" w14:textId="77777777" w:rsidR="008630EC" w:rsidRPr="008630EC" w:rsidRDefault="008630EC" w:rsidP="007A4F26">
      <w:pPr>
        <w:ind w:firstLine="1134"/>
        <w:jc w:val="both"/>
        <w:rPr>
          <w:rFonts w:ascii="Times New Roman" w:hAnsi="Times New Roman"/>
          <w:sz w:val="28"/>
          <w:szCs w:val="28"/>
          <w:lang w:val="bg-BG"/>
        </w:rPr>
      </w:pPr>
    </w:p>
    <w:p w14:paraId="1B009204" w14:textId="77777777" w:rsidR="008630EC" w:rsidRDefault="008630EC" w:rsidP="00AF32C1">
      <w:pPr>
        <w:spacing w:line="360" w:lineRule="auto"/>
        <w:ind w:firstLine="1134"/>
        <w:jc w:val="both"/>
        <w:rPr>
          <w:rFonts w:ascii="Times New Roman" w:eastAsia="Calibri" w:hAnsi="Times New Roman"/>
          <w:b/>
          <w:bCs/>
          <w:sz w:val="28"/>
          <w:szCs w:val="28"/>
          <w:lang w:val="bg-BG" w:eastAsia="bg-BG"/>
        </w:rPr>
      </w:pPr>
      <w:r w:rsidRPr="008630EC">
        <w:rPr>
          <w:rFonts w:ascii="Times New Roman" w:eastAsia="Calibri" w:hAnsi="Times New Roman"/>
          <w:b/>
          <w:bCs/>
          <w:sz w:val="28"/>
          <w:szCs w:val="28"/>
          <w:lang w:val="en-US" w:eastAsia="bg-BG"/>
        </w:rPr>
        <w:t>IV</w:t>
      </w:r>
      <w:r w:rsidRPr="008630EC">
        <w:rPr>
          <w:rFonts w:ascii="Times New Roman" w:eastAsia="Calibri" w:hAnsi="Times New Roman"/>
          <w:b/>
          <w:bCs/>
          <w:sz w:val="28"/>
          <w:szCs w:val="28"/>
          <w:lang w:val="bg-BG" w:eastAsia="bg-BG"/>
        </w:rPr>
        <w:t>. Очаквани резултати от прилагането на новата уредба</w:t>
      </w:r>
    </w:p>
    <w:p w14:paraId="53A2E18F" w14:textId="77777777" w:rsidR="007A4F26" w:rsidRPr="008630EC" w:rsidRDefault="007A4F26" w:rsidP="007A4F26">
      <w:pPr>
        <w:ind w:firstLine="1134"/>
        <w:jc w:val="both"/>
        <w:rPr>
          <w:rFonts w:ascii="Times New Roman" w:eastAsia="Calibri" w:hAnsi="Times New Roman"/>
          <w:b/>
          <w:bCs/>
          <w:sz w:val="28"/>
          <w:szCs w:val="28"/>
          <w:lang w:val="bg-BG" w:eastAsia="bg-BG"/>
        </w:rPr>
      </w:pPr>
    </w:p>
    <w:p w14:paraId="7FEE6B75" w14:textId="025D533C" w:rsidR="008630EC" w:rsidRPr="008630EC" w:rsidRDefault="008630EC" w:rsidP="00AF32C1">
      <w:pPr>
        <w:spacing w:line="360" w:lineRule="auto"/>
        <w:ind w:firstLine="1134"/>
        <w:jc w:val="both"/>
        <w:rPr>
          <w:rFonts w:ascii="Times New Roman" w:eastAsia="Calibri" w:hAnsi="Times New Roman"/>
          <w:sz w:val="28"/>
          <w:szCs w:val="28"/>
          <w:lang w:val="bg-BG"/>
        </w:rPr>
      </w:pPr>
      <w:r w:rsidRPr="008630EC">
        <w:rPr>
          <w:rFonts w:ascii="Times New Roman" w:eastAsia="Calibri" w:hAnsi="Times New Roman"/>
          <w:sz w:val="28"/>
          <w:szCs w:val="28"/>
          <w:lang w:val="bg-BG"/>
        </w:rPr>
        <w:t xml:space="preserve">По-широкото използване на инструменти за управление на ликвидността и възможността националните компетентни органи да задействат по-специфични такива инструменти ще подобрят финансовата стабилност на АИФ и ПКИПЦК и ще осигурят по-добра защита на инвеститорите. Наличието на по-изчерпателни данни при регулаторното докладване ще позволи по-доброто проследяване на натрупването на риск в системата. Допълнителното уточняване на правилата за делегиране ще гарантира, че инвеститорите в АИФ и ПКИПЦК са по-добре защитени от </w:t>
      </w:r>
      <w:r w:rsidRPr="008630EC">
        <w:rPr>
          <w:rFonts w:ascii="Times New Roman" w:eastAsia="Calibri" w:hAnsi="Times New Roman"/>
          <w:sz w:val="28"/>
          <w:szCs w:val="28"/>
          <w:lang w:val="bg-BG"/>
        </w:rPr>
        <w:lastRenderedPageBreak/>
        <w:t>потенциална злоупотреба при делегиране на функции и услуги. Хармонизираната регулаторна рамка за ЛУАИФ, които управляват фондове, предоставящи заеми, ще позволи на тези фондове да работят на нови пазари и да се разрастват, като предоставят на реалната икономика източник на алтернативно финансиране.</w:t>
      </w:r>
    </w:p>
    <w:p w14:paraId="789D56B2" w14:textId="7A1C4118" w:rsidR="008630EC" w:rsidRPr="008630EC" w:rsidRDefault="008630EC" w:rsidP="00AF32C1">
      <w:pPr>
        <w:spacing w:line="360" w:lineRule="auto"/>
        <w:ind w:firstLine="1134"/>
        <w:jc w:val="both"/>
        <w:rPr>
          <w:rFonts w:ascii="Times New Roman" w:eastAsia="Calibri" w:hAnsi="Times New Roman"/>
          <w:sz w:val="28"/>
          <w:szCs w:val="28"/>
          <w:lang w:val="bg-BG"/>
        </w:rPr>
      </w:pPr>
      <w:r w:rsidRPr="008630EC">
        <w:rPr>
          <w:rFonts w:ascii="Times New Roman" w:eastAsia="Calibri" w:hAnsi="Times New Roman"/>
          <w:sz w:val="28"/>
          <w:szCs w:val="28"/>
          <w:lang w:val="bg-BG"/>
        </w:rPr>
        <w:t>Същевременно се очаква да бъд</w:t>
      </w:r>
      <w:r w:rsidR="00A63163">
        <w:rPr>
          <w:rFonts w:ascii="Times New Roman" w:eastAsia="Calibri" w:hAnsi="Times New Roman"/>
          <w:sz w:val="28"/>
          <w:szCs w:val="28"/>
          <w:lang w:val="bg-BG"/>
        </w:rPr>
        <w:t>е</w:t>
      </w:r>
      <w:r w:rsidRPr="008630EC">
        <w:rPr>
          <w:rFonts w:ascii="Times New Roman" w:eastAsia="Calibri" w:hAnsi="Times New Roman"/>
          <w:sz w:val="28"/>
          <w:szCs w:val="28"/>
          <w:lang w:val="bg-BG"/>
        </w:rPr>
        <w:t xml:space="preserve"> отчетен</w:t>
      </w:r>
      <w:r w:rsidR="00A63163">
        <w:rPr>
          <w:rFonts w:ascii="Times New Roman" w:eastAsia="Calibri" w:hAnsi="Times New Roman"/>
          <w:sz w:val="28"/>
          <w:szCs w:val="28"/>
          <w:lang w:val="bg-BG"/>
        </w:rPr>
        <w:t>о</w:t>
      </w:r>
      <w:r w:rsidRPr="008630EC">
        <w:rPr>
          <w:rFonts w:ascii="Times New Roman" w:eastAsia="Calibri" w:hAnsi="Times New Roman"/>
          <w:sz w:val="28"/>
          <w:szCs w:val="28"/>
          <w:lang w:val="bg-BG"/>
        </w:rPr>
        <w:t xml:space="preserve"> намаляване на административната тежест и </w:t>
      </w:r>
      <w:r w:rsidR="00A63163">
        <w:rPr>
          <w:rFonts w:ascii="Times New Roman" w:eastAsia="Calibri" w:hAnsi="Times New Roman"/>
          <w:sz w:val="28"/>
          <w:szCs w:val="28"/>
          <w:lang w:val="bg-BG"/>
        </w:rPr>
        <w:t xml:space="preserve">на </w:t>
      </w:r>
      <w:r w:rsidRPr="008630EC">
        <w:rPr>
          <w:rFonts w:ascii="Times New Roman" w:eastAsia="Calibri" w:hAnsi="Times New Roman"/>
          <w:sz w:val="28"/>
          <w:szCs w:val="28"/>
          <w:lang w:val="bg-BG"/>
        </w:rPr>
        <w:t>разходите</w:t>
      </w:r>
      <w:r w:rsidR="00A63163">
        <w:rPr>
          <w:rFonts w:ascii="Times New Roman" w:eastAsia="Calibri" w:hAnsi="Times New Roman"/>
          <w:sz w:val="28"/>
          <w:szCs w:val="28"/>
          <w:lang w:val="bg-BG"/>
        </w:rPr>
        <w:t>.</w:t>
      </w:r>
      <w:r w:rsidRPr="008630EC">
        <w:rPr>
          <w:rFonts w:ascii="Times New Roman" w:eastAsia="Calibri" w:hAnsi="Times New Roman"/>
          <w:sz w:val="28"/>
          <w:szCs w:val="28"/>
          <w:lang w:val="bg-BG"/>
        </w:rPr>
        <w:t xml:space="preserve"> </w:t>
      </w:r>
      <w:r w:rsidR="00A63163">
        <w:rPr>
          <w:rFonts w:ascii="Times New Roman" w:eastAsia="Calibri" w:hAnsi="Times New Roman"/>
          <w:sz w:val="28"/>
          <w:szCs w:val="28"/>
          <w:lang w:val="bg-BG"/>
        </w:rPr>
        <w:t>В</w:t>
      </w:r>
      <w:r w:rsidRPr="008630EC">
        <w:rPr>
          <w:rFonts w:ascii="Times New Roman" w:eastAsia="Calibri" w:hAnsi="Times New Roman"/>
          <w:sz w:val="28"/>
          <w:szCs w:val="28"/>
          <w:lang w:val="bg-BG"/>
        </w:rPr>
        <w:t>следствие на разрешението за инвестиционните посредници и операторите на МСТ да регистрират даден сегмент от МСТ като пазар за растеж на МСП ще се намалят разходите за организиране на такива пазари</w:t>
      </w:r>
      <w:r w:rsidR="006B791C">
        <w:rPr>
          <w:rFonts w:ascii="Times New Roman" w:eastAsia="Calibri" w:hAnsi="Times New Roman"/>
          <w:sz w:val="28"/>
          <w:szCs w:val="28"/>
          <w:lang w:val="bg-BG"/>
        </w:rPr>
        <w:t xml:space="preserve"> и ще се стимулира</w:t>
      </w:r>
      <w:r w:rsidRPr="008630EC">
        <w:rPr>
          <w:rFonts w:ascii="Times New Roman" w:eastAsia="Calibri" w:hAnsi="Times New Roman"/>
          <w:sz w:val="28"/>
          <w:szCs w:val="28"/>
          <w:lang w:val="bg-BG"/>
        </w:rPr>
        <w:t xml:space="preserve"> капиталовия</w:t>
      </w:r>
      <w:r w:rsidR="006B791C">
        <w:rPr>
          <w:rFonts w:ascii="Times New Roman" w:eastAsia="Calibri" w:hAnsi="Times New Roman"/>
          <w:sz w:val="28"/>
          <w:szCs w:val="28"/>
          <w:lang w:val="bg-BG"/>
        </w:rPr>
        <w:t>т</w:t>
      </w:r>
      <w:r w:rsidRPr="008630EC">
        <w:rPr>
          <w:rFonts w:ascii="Times New Roman" w:eastAsia="Calibri" w:hAnsi="Times New Roman"/>
          <w:sz w:val="28"/>
          <w:szCs w:val="28"/>
          <w:lang w:val="bg-BG"/>
        </w:rPr>
        <w:t xml:space="preserve"> пазар във връзка с прилагането на дерогацията по чл. 51а, параграф 5</w:t>
      </w:r>
      <w:r w:rsidR="006B791C">
        <w:rPr>
          <w:rFonts w:ascii="Times New Roman" w:eastAsia="Calibri" w:hAnsi="Times New Roman"/>
          <w:sz w:val="28"/>
          <w:szCs w:val="28"/>
          <w:lang w:val="bg-BG"/>
        </w:rPr>
        <w:t>,</w:t>
      </w:r>
      <w:r w:rsidRPr="008630EC">
        <w:rPr>
          <w:rFonts w:ascii="Times New Roman" w:eastAsia="Calibri" w:hAnsi="Times New Roman"/>
          <w:sz w:val="28"/>
          <w:szCs w:val="28"/>
          <w:lang w:val="bg-BG"/>
        </w:rPr>
        <w:t xml:space="preserve"> като основен механизъм за гарантиране на достатъчно публично разпределение чрез въвеждане на един или повече от изброените в него критерии ще гарантира прозрачност, предвидимост за емитентите и защита на инвеститорите, при запазване на ефективната надзорна роля на Комисията за финансов надзор.</w:t>
      </w:r>
    </w:p>
    <w:p w14:paraId="4713D9C8" w14:textId="77777777" w:rsidR="008630EC" w:rsidRPr="008630EC" w:rsidRDefault="008630EC" w:rsidP="00AF32C1">
      <w:pPr>
        <w:spacing w:line="360" w:lineRule="auto"/>
        <w:ind w:firstLine="1134"/>
        <w:jc w:val="both"/>
        <w:rPr>
          <w:rFonts w:ascii="Times New Roman" w:eastAsia="Calibri" w:hAnsi="Times New Roman"/>
          <w:sz w:val="28"/>
          <w:szCs w:val="28"/>
          <w:lang w:val="bg-BG"/>
        </w:rPr>
      </w:pPr>
      <w:r w:rsidRPr="008630EC">
        <w:rPr>
          <w:rFonts w:ascii="Times New Roman" w:eastAsia="Calibri" w:hAnsi="Times New Roman"/>
          <w:sz w:val="28"/>
          <w:szCs w:val="28"/>
          <w:lang w:val="bg-BG"/>
        </w:rPr>
        <w:t>В допълнение се отчита положително въздействие, което би се проявило спрямо МСП, поради наличието на ясна правна рамка за публично предлагане без проспект или с проспект при облекчени условия, което ще улесни достъпа им до финансиране от капиталовите пазари.</w:t>
      </w:r>
    </w:p>
    <w:p w14:paraId="5F96B5E1" w14:textId="77777777" w:rsidR="008630EC" w:rsidRPr="008630EC" w:rsidRDefault="008630EC" w:rsidP="00AF32C1">
      <w:pPr>
        <w:spacing w:line="360" w:lineRule="auto"/>
        <w:ind w:firstLine="1134"/>
        <w:jc w:val="both"/>
        <w:rPr>
          <w:rFonts w:ascii="Times New Roman" w:eastAsia="Calibri" w:hAnsi="Times New Roman"/>
          <w:sz w:val="28"/>
          <w:szCs w:val="28"/>
          <w:lang w:val="bg-BG"/>
        </w:rPr>
      </w:pPr>
      <w:r w:rsidRPr="008630EC">
        <w:rPr>
          <w:rFonts w:ascii="Times New Roman" w:eastAsia="Calibri" w:hAnsi="Times New Roman"/>
          <w:sz w:val="28"/>
          <w:szCs w:val="28"/>
          <w:lang w:val="bg-BG"/>
        </w:rPr>
        <w:t>В резултат на въвеждането на мерки по прилагането Делегиран регламент (ЕС) 2023/2830 на Комисията ще се създаде хармонизирана рамка за участниците на пазара - инвестиционни посредници и кредитни институции, като се гарантира съответствие с европейските стандарти и намалява правната несигурност.</w:t>
      </w:r>
    </w:p>
    <w:p w14:paraId="33CC6BFB" w14:textId="77777777" w:rsidR="008630EC" w:rsidRPr="008630EC" w:rsidRDefault="008630EC" w:rsidP="00AF32C1">
      <w:pPr>
        <w:spacing w:line="360" w:lineRule="auto"/>
        <w:ind w:firstLine="1134"/>
        <w:jc w:val="both"/>
        <w:rPr>
          <w:rFonts w:ascii="Times New Roman" w:hAnsi="Times New Roman"/>
          <w:sz w:val="28"/>
          <w:szCs w:val="28"/>
          <w:lang w:val="bg-BG"/>
        </w:rPr>
      </w:pPr>
      <w:r w:rsidRPr="008630EC">
        <w:rPr>
          <w:rFonts w:ascii="Times New Roman" w:hAnsi="Times New Roman"/>
          <w:sz w:val="28"/>
          <w:szCs w:val="28"/>
          <w:lang w:val="bg-BG"/>
        </w:rPr>
        <w:t>Въвеждането на законодателна уредба за определяне на имуществените санкции и глобите в евро ще създаде условия за плавен преход към новата валутна среда и укрепване на при прилагането на санкционните разпоредби.</w:t>
      </w:r>
    </w:p>
    <w:p w14:paraId="44573D99" w14:textId="2C0A930B" w:rsidR="008630EC" w:rsidRPr="008630EC" w:rsidRDefault="008630EC" w:rsidP="00AF32C1">
      <w:pPr>
        <w:spacing w:line="360" w:lineRule="auto"/>
        <w:ind w:firstLine="1134"/>
        <w:jc w:val="both"/>
        <w:rPr>
          <w:rFonts w:ascii="Times New Roman" w:hAnsi="Times New Roman"/>
          <w:sz w:val="28"/>
          <w:szCs w:val="28"/>
          <w:lang w:val="bg-BG"/>
        </w:rPr>
      </w:pPr>
      <w:r w:rsidRPr="008630EC">
        <w:rPr>
          <w:rFonts w:ascii="Times New Roman" w:hAnsi="Times New Roman"/>
          <w:sz w:val="28"/>
          <w:szCs w:val="28"/>
          <w:lang w:val="bg-BG"/>
        </w:rPr>
        <w:lastRenderedPageBreak/>
        <w:t xml:space="preserve">Предложените изменения в Закона за Комисията за финансов надзор целят да усъвършенстват нейната дейност, като ѝ предоставят необходимите правни инструменти за по-ефективна защита интересите на инвеститорите, застрахованите и осигурените лица. </w:t>
      </w:r>
    </w:p>
    <w:p w14:paraId="61E2E003" w14:textId="28FA212B" w:rsidR="008630EC" w:rsidRPr="008630EC" w:rsidRDefault="008630EC" w:rsidP="00AF32C1">
      <w:pPr>
        <w:spacing w:line="360" w:lineRule="auto"/>
        <w:ind w:firstLine="1134"/>
        <w:jc w:val="both"/>
        <w:rPr>
          <w:rFonts w:ascii="Times New Roman" w:hAnsi="Times New Roman"/>
          <w:sz w:val="28"/>
          <w:szCs w:val="28"/>
          <w:lang w:val="bg-BG"/>
        </w:rPr>
      </w:pPr>
      <w:r w:rsidRPr="008630EC">
        <w:rPr>
          <w:rFonts w:ascii="Times New Roman" w:hAnsi="Times New Roman"/>
          <w:bCs/>
          <w:sz w:val="28"/>
          <w:szCs w:val="28"/>
          <w:lang w:val="bg-BG"/>
        </w:rPr>
        <w:t>Приемането на промяната в Закона за обществените поръчки в изпълнение на НПВУ цели постигане на предвидимост относно очакваните за реализация обществени поръчки в страната, което ще има ефект, както върху управлението на процесите по възлагане, така и върху бюджетната дисциплина. В допълнение, събирането на информация за планираните обществени поръчки в страната ще окаже влияние и върху дейността на органите с контролни функции в системата на обществените поръчки, като допринесе за оптимизиране на тяхната дейност.</w:t>
      </w:r>
    </w:p>
    <w:p w14:paraId="57B8AD3A" w14:textId="2CB20982" w:rsidR="008630EC" w:rsidRPr="008630EC" w:rsidRDefault="008630EC" w:rsidP="007A4F26">
      <w:pPr>
        <w:ind w:firstLine="1134"/>
        <w:jc w:val="both"/>
        <w:rPr>
          <w:rFonts w:ascii="Times New Roman" w:hAnsi="Times New Roman"/>
          <w:sz w:val="28"/>
          <w:szCs w:val="28"/>
          <w:lang w:val="bg-BG"/>
        </w:rPr>
      </w:pPr>
    </w:p>
    <w:p w14:paraId="62DA779D" w14:textId="77777777" w:rsidR="008630EC" w:rsidRDefault="008630EC" w:rsidP="00AF32C1">
      <w:pPr>
        <w:spacing w:line="360" w:lineRule="auto"/>
        <w:ind w:firstLine="1134"/>
        <w:jc w:val="both"/>
        <w:rPr>
          <w:rFonts w:ascii="Times New Roman" w:eastAsia="Calibri" w:hAnsi="Times New Roman"/>
          <w:b/>
          <w:sz w:val="28"/>
          <w:szCs w:val="28"/>
          <w:lang w:val="bg-BG"/>
        </w:rPr>
      </w:pPr>
      <w:r w:rsidRPr="008630EC">
        <w:rPr>
          <w:rFonts w:ascii="Times New Roman" w:eastAsia="Calibri" w:hAnsi="Times New Roman"/>
          <w:b/>
          <w:sz w:val="28"/>
          <w:szCs w:val="28"/>
          <w:lang w:val="en-US"/>
        </w:rPr>
        <w:t>V</w:t>
      </w:r>
      <w:r w:rsidRPr="008630EC">
        <w:rPr>
          <w:rFonts w:ascii="Times New Roman" w:eastAsia="Calibri" w:hAnsi="Times New Roman"/>
          <w:b/>
          <w:sz w:val="28"/>
          <w:szCs w:val="28"/>
          <w:lang w:val="bg-BG"/>
        </w:rPr>
        <w:t>.</w:t>
      </w:r>
      <w:r w:rsidRPr="008630EC">
        <w:rPr>
          <w:rFonts w:ascii="Times New Roman" w:eastAsia="Calibri" w:hAnsi="Times New Roman"/>
          <w:sz w:val="28"/>
          <w:szCs w:val="28"/>
          <w:lang w:val="bg-BG"/>
        </w:rPr>
        <w:tab/>
      </w:r>
      <w:r w:rsidRPr="008630EC">
        <w:rPr>
          <w:rFonts w:ascii="Times New Roman" w:eastAsia="Calibri" w:hAnsi="Times New Roman"/>
          <w:b/>
          <w:sz w:val="28"/>
          <w:szCs w:val="28"/>
          <w:lang w:val="bg-BG"/>
        </w:rPr>
        <w:t>Съответствие с правото на Европейския съюз</w:t>
      </w:r>
    </w:p>
    <w:p w14:paraId="6210BA9D" w14:textId="77777777" w:rsidR="007A4F26" w:rsidRPr="008630EC" w:rsidRDefault="007A4F26" w:rsidP="007A4F26">
      <w:pPr>
        <w:ind w:firstLine="1134"/>
        <w:jc w:val="both"/>
        <w:rPr>
          <w:rFonts w:ascii="Times New Roman" w:eastAsia="Calibri" w:hAnsi="Times New Roman"/>
          <w:b/>
          <w:sz w:val="28"/>
          <w:szCs w:val="28"/>
          <w:lang w:val="bg-BG"/>
        </w:rPr>
      </w:pPr>
    </w:p>
    <w:p w14:paraId="722BB14D" w14:textId="320A1593" w:rsidR="008630EC" w:rsidRPr="008630EC" w:rsidRDefault="008630EC" w:rsidP="00AF32C1">
      <w:pPr>
        <w:spacing w:line="360" w:lineRule="auto"/>
        <w:ind w:firstLine="1134"/>
        <w:jc w:val="both"/>
        <w:rPr>
          <w:rFonts w:ascii="Times New Roman" w:eastAsia="Calibri" w:hAnsi="Times New Roman"/>
          <w:bCs/>
          <w:sz w:val="28"/>
          <w:szCs w:val="28"/>
          <w:lang w:val="bg-BG"/>
        </w:rPr>
      </w:pPr>
      <w:r w:rsidRPr="008630EC">
        <w:rPr>
          <w:rFonts w:ascii="Times New Roman" w:eastAsia="Calibri" w:hAnsi="Times New Roman"/>
          <w:bCs/>
          <w:sz w:val="28"/>
          <w:szCs w:val="28"/>
          <w:lang w:val="bg-BG"/>
        </w:rPr>
        <w:t xml:space="preserve">Законопроектът </w:t>
      </w:r>
      <w:r w:rsidR="006B791C">
        <w:rPr>
          <w:rFonts w:ascii="Times New Roman" w:eastAsia="Calibri" w:hAnsi="Times New Roman"/>
          <w:bCs/>
          <w:sz w:val="28"/>
          <w:szCs w:val="28"/>
          <w:lang w:val="bg-BG"/>
        </w:rPr>
        <w:t xml:space="preserve">е </w:t>
      </w:r>
      <w:r w:rsidRPr="008630EC">
        <w:rPr>
          <w:rFonts w:ascii="Times New Roman" w:eastAsia="Calibri" w:hAnsi="Times New Roman"/>
          <w:bCs/>
          <w:sz w:val="28"/>
          <w:szCs w:val="28"/>
          <w:lang w:val="bg-BG"/>
        </w:rPr>
        <w:t>изготвен от междуведомствена работна група с представители на Министерството на финансите, Комисията за финансов надзор, Министерския съвет, Българската народна банка и пазарните участници и е в изпълнение на мярка №186 от Плана за действие за 2026 г. с мерките, произтичащи от членството на Република България в ЕС</w:t>
      </w:r>
      <w:r w:rsidR="006B791C">
        <w:rPr>
          <w:rFonts w:ascii="Times New Roman" w:eastAsia="Calibri" w:hAnsi="Times New Roman"/>
          <w:bCs/>
          <w:sz w:val="28"/>
          <w:szCs w:val="28"/>
          <w:lang w:val="bg-BG"/>
        </w:rPr>
        <w:t>,</w:t>
      </w:r>
      <w:r w:rsidRPr="008630EC">
        <w:rPr>
          <w:rFonts w:ascii="Times New Roman" w:eastAsia="Calibri" w:hAnsi="Times New Roman"/>
          <w:bCs/>
          <w:sz w:val="28"/>
          <w:szCs w:val="28"/>
          <w:lang w:val="bg-BG"/>
        </w:rPr>
        <w:t xml:space="preserve"> приет с Р</w:t>
      </w:r>
      <w:r w:rsidR="006B791C">
        <w:rPr>
          <w:rFonts w:ascii="Times New Roman" w:eastAsia="Calibri" w:hAnsi="Times New Roman"/>
          <w:bCs/>
          <w:sz w:val="28"/>
          <w:szCs w:val="28"/>
          <w:lang w:val="bg-BG"/>
        </w:rPr>
        <w:t xml:space="preserve">ешение </w:t>
      </w:r>
      <w:r w:rsidR="006B791C" w:rsidRPr="008630EC">
        <w:rPr>
          <w:rFonts w:ascii="Times New Roman" w:eastAsia="Calibri" w:hAnsi="Times New Roman"/>
          <w:bCs/>
          <w:sz w:val="28"/>
          <w:szCs w:val="28"/>
          <w:lang w:val="bg-BG"/>
        </w:rPr>
        <w:t xml:space="preserve">№84 </w:t>
      </w:r>
      <w:r w:rsidR="006B791C">
        <w:rPr>
          <w:rFonts w:ascii="Times New Roman" w:eastAsia="Calibri" w:hAnsi="Times New Roman"/>
          <w:bCs/>
          <w:sz w:val="28"/>
          <w:szCs w:val="28"/>
          <w:lang w:val="bg-BG"/>
        </w:rPr>
        <w:t xml:space="preserve">на Министерския съвет </w:t>
      </w:r>
      <w:r w:rsidRPr="008630EC">
        <w:rPr>
          <w:rFonts w:ascii="Times New Roman" w:eastAsia="Calibri" w:hAnsi="Times New Roman"/>
          <w:bCs/>
          <w:sz w:val="28"/>
          <w:szCs w:val="28"/>
          <w:lang w:val="bg-BG"/>
        </w:rPr>
        <w:t>от 2026 г.</w:t>
      </w:r>
    </w:p>
    <w:p w14:paraId="113DCD10" w14:textId="77777777" w:rsidR="008630EC" w:rsidRPr="008630EC" w:rsidRDefault="008630EC" w:rsidP="00AF32C1">
      <w:pPr>
        <w:spacing w:line="360" w:lineRule="auto"/>
        <w:ind w:firstLine="1134"/>
        <w:jc w:val="both"/>
        <w:rPr>
          <w:rFonts w:ascii="Times New Roman" w:eastAsia="Calibri" w:hAnsi="Times New Roman"/>
          <w:bCs/>
          <w:sz w:val="28"/>
          <w:szCs w:val="28"/>
          <w:lang w:val="bg-BG"/>
        </w:rPr>
      </w:pPr>
      <w:r w:rsidRPr="008630EC">
        <w:rPr>
          <w:rFonts w:ascii="Times New Roman" w:eastAsia="Calibri" w:hAnsi="Times New Roman"/>
          <w:bCs/>
          <w:sz w:val="28"/>
          <w:szCs w:val="28"/>
          <w:lang w:val="bg-BG"/>
        </w:rPr>
        <w:t>Със законопроекта се въвеждат изисквания на правото на Европейския съюз, поради което към него са приложени справки за съответствието с Директива (ЕС) 2024/927 и Директива (ЕС) 2024/2811.</w:t>
      </w:r>
    </w:p>
    <w:p w14:paraId="0AF09C7B" w14:textId="47EA8038" w:rsidR="008630EC" w:rsidRPr="008630EC" w:rsidRDefault="008630EC" w:rsidP="00AF32C1">
      <w:pPr>
        <w:spacing w:line="360" w:lineRule="auto"/>
        <w:ind w:firstLine="1134"/>
        <w:jc w:val="both"/>
        <w:rPr>
          <w:rFonts w:ascii="Times New Roman" w:eastAsia="Calibri" w:hAnsi="Times New Roman"/>
          <w:sz w:val="28"/>
          <w:szCs w:val="28"/>
          <w:lang w:val="bg-BG"/>
        </w:rPr>
      </w:pPr>
      <w:r w:rsidRPr="008630EC">
        <w:rPr>
          <w:rFonts w:ascii="Times New Roman" w:eastAsia="Calibri" w:hAnsi="Times New Roman"/>
          <w:sz w:val="28"/>
          <w:szCs w:val="28"/>
          <w:lang w:val="bg-BG"/>
        </w:rPr>
        <w:t xml:space="preserve">По законопроекта са проведени обществени консултации съгласно чл. 26, ал. 3 от Закона за нормативните актове, като законопроектът и мотивите към него, частичната предварителната оценка на въздействието и становището на дирекция „Координация и модернизация на администрацията“ към Министерския съвет по нея са </w:t>
      </w:r>
      <w:r w:rsidRPr="008630EC">
        <w:rPr>
          <w:rFonts w:ascii="Times New Roman" w:eastAsia="Calibri" w:hAnsi="Times New Roman"/>
          <w:sz w:val="28"/>
          <w:szCs w:val="28"/>
          <w:lang w:val="bg-BG"/>
        </w:rPr>
        <w:lastRenderedPageBreak/>
        <w:t>публикувани на интернет страницата на Министерството на финансите и на Портала за обществени консултации. В съответствие с чл. 26, ал. 5 от Закона за нормативните актове справката за постъпилите предложения заедно с обосновка за неприетите предложения в резултат на проведените обществени консултации е публикувана на интернет страницата на Министерството на финансите и на Портала за обществени консултации.</w:t>
      </w:r>
      <w:r w:rsidRPr="008630EC">
        <w:rPr>
          <w:rFonts w:ascii="Times New Roman" w:eastAsia="Calibri" w:hAnsi="Times New Roman"/>
          <w:sz w:val="28"/>
          <w:szCs w:val="28"/>
          <w:lang w:val="en-US"/>
        </w:rPr>
        <w:t xml:space="preserve"> </w:t>
      </w:r>
    </w:p>
    <w:p w14:paraId="4BAFE0F7" w14:textId="5B8FC156" w:rsidR="008630EC" w:rsidRPr="008630EC" w:rsidRDefault="008630EC" w:rsidP="00AF32C1">
      <w:pPr>
        <w:spacing w:line="360" w:lineRule="auto"/>
        <w:ind w:firstLine="1134"/>
        <w:jc w:val="both"/>
        <w:rPr>
          <w:rFonts w:ascii="Times New Roman" w:eastAsia="Calibri" w:hAnsi="Times New Roman"/>
          <w:bCs/>
          <w:sz w:val="28"/>
          <w:szCs w:val="28"/>
          <w:lang w:val="bg-BG"/>
        </w:rPr>
      </w:pPr>
      <w:r w:rsidRPr="008630EC">
        <w:rPr>
          <w:rFonts w:ascii="Times New Roman" w:eastAsia="Calibri" w:hAnsi="Times New Roman"/>
          <w:bCs/>
          <w:sz w:val="28"/>
          <w:szCs w:val="28"/>
          <w:lang w:val="bg-BG"/>
        </w:rPr>
        <w:t>Съгласно чл. 1, параграф 4 от Директива (ЕС) 2015/1535 на Европейския парламент и на Съвета от 9 септември 2015 г.</w:t>
      </w:r>
      <w:r w:rsidR="006B791C">
        <w:rPr>
          <w:rFonts w:ascii="Times New Roman" w:eastAsia="Calibri" w:hAnsi="Times New Roman"/>
          <w:bCs/>
          <w:sz w:val="28"/>
          <w:szCs w:val="28"/>
          <w:lang w:val="bg-BG"/>
        </w:rPr>
        <w:t>,</w:t>
      </w:r>
      <w:r w:rsidRPr="008630EC">
        <w:rPr>
          <w:rFonts w:ascii="Times New Roman" w:eastAsia="Calibri" w:hAnsi="Times New Roman"/>
          <w:bCs/>
          <w:sz w:val="28"/>
          <w:szCs w:val="28"/>
          <w:lang w:val="bg-BG"/>
        </w:rPr>
        <w:t xml:space="preserve"> установяваща процедура за предоставянето на информация в сферата на техническите регламенти и правила относно услугите на информационното общество (Директива (ЕС) 2015/1535), същата не се прилага за правилата, свързани с въпросите, които са предмет на законодателството на Съюза в областта на финансовите услуги, както са изброени неизчерпателно в приложение II към посочената директива. Наред с това в законопроекта не се съдържат елементи и правила, които имат характеристиките на технически регламент по смисъла на Директива (ЕС) 2015/1535, включително няма технически спецификации, отнасящи се до предлагани на пазара продукти или услуги. В резултат на изложеното не се налага </w:t>
      </w:r>
      <w:proofErr w:type="spellStart"/>
      <w:r w:rsidRPr="008630EC">
        <w:rPr>
          <w:rFonts w:ascii="Times New Roman" w:eastAsia="Calibri" w:hAnsi="Times New Roman"/>
          <w:bCs/>
          <w:sz w:val="28"/>
          <w:szCs w:val="28"/>
          <w:lang w:val="bg-BG"/>
        </w:rPr>
        <w:t>нотифициране</w:t>
      </w:r>
      <w:proofErr w:type="spellEnd"/>
      <w:r w:rsidRPr="008630EC">
        <w:rPr>
          <w:rFonts w:ascii="Times New Roman" w:eastAsia="Calibri" w:hAnsi="Times New Roman"/>
          <w:bCs/>
          <w:sz w:val="28"/>
          <w:szCs w:val="28"/>
          <w:lang w:val="bg-BG"/>
        </w:rPr>
        <w:t xml:space="preserve"> до Европейската комисия на посочения законопроект.</w:t>
      </w:r>
    </w:p>
    <w:p w14:paraId="00866074" w14:textId="77777777" w:rsidR="00A67E7B" w:rsidRDefault="00A67E7B" w:rsidP="00A67E7B">
      <w:pPr>
        <w:pStyle w:val="ListParagraph"/>
        <w:tabs>
          <w:tab w:val="left" w:pos="709"/>
          <w:tab w:val="left" w:pos="851"/>
        </w:tabs>
        <w:spacing w:after="0" w:line="240" w:lineRule="auto"/>
        <w:ind w:left="0" w:firstLine="1134"/>
        <w:jc w:val="both"/>
        <w:rPr>
          <w:rFonts w:ascii="Times New Roman" w:hAnsi="Times New Roman"/>
          <w:bCs/>
          <w:sz w:val="24"/>
          <w:szCs w:val="24"/>
        </w:rPr>
      </w:pPr>
    </w:p>
    <w:p w14:paraId="2A1025E5" w14:textId="77777777" w:rsidR="00A67E7B" w:rsidRPr="00A67E7B" w:rsidRDefault="00A67E7B" w:rsidP="00A67E7B">
      <w:pPr>
        <w:pStyle w:val="ListParagraph"/>
        <w:tabs>
          <w:tab w:val="left" w:pos="709"/>
          <w:tab w:val="left" w:pos="851"/>
        </w:tabs>
        <w:spacing w:after="0" w:line="240" w:lineRule="auto"/>
        <w:ind w:left="0" w:firstLine="1134"/>
        <w:jc w:val="both"/>
        <w:rPr>
          <w:rFonts w:ascii="Times New Roman" w:hAnsi="Times New Roman"/>
          <w:bCs/>
          <w:sz w:val="24"/>
          <w:szCs w:val="24"/>
        </w:rPr>
      </w:pPr>
    </w:p>
    <w:p w14:paraId="1226746A" w14:textId="77777777" w:rsidR="00AD087A" w:rsidRPr="00A67E7B" w:rsidRDefault="00AD087A" w:rsidP="00A67E7B">
      <w:pPr>
        <w:pStyle w:val="ListParagraph"/>
        <w:tabs>
          <w:tab w:val="left" w:pos="709"/>
          <w:tab w:val="left" w:pos="851"/>
        </w:tabs>
        <w:spacing w:after="0" w:line="240" w:lineRule="auto"/>
        <w:ind w:left="0" w:firstLine="1134"/>
        <w:jc w:val="both"/>
        <w:rPr>
          <w:rFonts w:ascii="Times New Roman" w:hAnsi="Times New Roman"/>
          <w:bCs/>
          <w:sz w:val="24"/>
          <w:szCs w:val="24"/>
        </w:rPr>
      </w:pPr>
    </w:p>
    <w:p w14:paraId="684CBA35" w14:textId="1B5FB542" w:rsidR="00AD087A" w:rsidRPr="00607806" w:rsidRDefault="00607806" w:rsidP="00607806">
      <w:pPr>
        <w:pStyle w:val="ListParagraph"/>
        <w:tabs>
          <w:tab w:val="left" w:pos="709"/>
          <w:tab w:val="left" w:pos="851"/>
        </w:tabs>
        <w:spacing w:after="0" w:line="360" w:lineRule="auto"/>
        <w:ind w:left="0" w:firstLine="1134"/>
        <w:jc w:val="both"/>
        <w:rPr>
          <w:rFonts w:ascii="Times New Roman" w:hAnsi="Times New Roman"/>
          <w:b/>
          <w:sz w:val="24"/>
          <w:szCs w:val="24"/>
        </w:rPr>
      </w:pPr>
      <w:r w:rsidRPr="00607806">
        <w:rPr>
          <w:rFonts w:ascii="Times New Roman" w:hAnsi="Times New Roman"/>
          <w:b/>
          <w:sz w:val="24"/>
          <w:szCs w:val="24"/>
        </w:rPr>
        <w:t>АНДРЕЙ ГЮРОВ</w:t>
      </w:r>
    </w:p>
    <w:p w14:paraId="629069D4" w14:textId="3940AAE7" w:rsidR="00AD087A" w:rsidRPr="00BE6EE5" w:rsidRDefault="00AD087A" w:rsidP="004B4A70">
      <w:pPr>
        <w:tabs>
          <w:tab w:val="left" w:pos="1790"/>
        </w:tabs>
        <w:ind w:left="1134"/>
        <w:rPr>
          <w:rFonts w:ascii="Times New Roman" w:hAnsi="Times New Roman"/>
          <w:b/>
          <w:szCs w:val="24"/>
          <w:lang w:val="bg-BG"/>
        </w:rPr>
      </w:pPr>
      <w:bookmarkStart w:id="0" w:name="_Hlk92799938"/>
      <w:r w:rsidRPr="00A67E7B">
        <w:rPr>
          <w:rFonts w:ascii="Times New Roman" w:hAnsi="Times New Roman"/>
          <w:b/>
          <w:szCs w:val="24"/>
        </w:rPr>
        <w:t>МИНИСТЪР-ПРЕДСЕДАТЕЛ</w:t>
      </w:r>
      <w:r w:rsidR="00BE6EE5">
        <w:rPr>
          <w:rFonts w:ascii="Times New Roman" w:hAnsi="Times New Roman"/>
          <w:b/>
          <w:szCs w:val="24"/>
          <w:lang w:val="bg-BG"/>
        </w:rPr>
        <w:t>:</w:t>
      </w:r>
    </w:p>
    <w:bookmarkEnd w:id="0"/>
    <w:p w14:paraId="5938DD67" w14:textId="73532DC8" w:rsidR="00AD087A" w:rsidRPr="00FF6D91" w:rsidRDefault="00831FAB" w:rsidP="004B4A70">
      <w:pPr>
        <w:tabs>
          <w:tab w:val="left" w:pos="1790"/>
        </w:tabs>
        <w:jc w:val="right"/>
        <w:rPr>
          <w:rFonts w:ascii="Times New Roman" w:hAnsi="Times New Roman"/>
          <w:szCs w:val="24"/>
        </w:rPr>
      </w:pPr>
      <w:r>
        <w:rPr>
          <w:rFonts w:ascii="Times New Roman" w:hAnsi="Times New Roman"/>
          <w:szCs w:val="24"/>
        </w:rPr>
        <w:pict w14:anchorId="4D88B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д за подпис на Microsoft Office..." style="width:191.8pt;height:96.2pt">
            <v:imagedata r:id="rId7" o:title=""/>
            <o:lock v:ext="edit" ungrouping="t" rotation="t" cropping="t" verticies="t" text="t" grouping="t"/>
            <o:signatureline v:ext="edit" id="{816E61CD-A9F0-436B-A566-7BBA946E27C3}" provid="{00000000-0000-0000-0000-000000000000}" issignatureline="t"/>
          </v:shape>
        </w:pict>
      </w:r>
    </w:p>
    <w:sectPr w:rsidR="00AD087A" w:rsidRPr="00FF6D91" w:rsidSect="0052153C">
      <w:headerReference w:type="even" r:id="rId8"/>
      <w:headerReference w:type="default" r:id="rId9"/>
      <w:footerReference w:type="default" r:id="rId10"/>
      <w:footerReference w:type="first" r:id="rId11"/>
      <w:pgSz w:w="11907" w:h="16840" w:code="9"/>
      <w:pgMar w:top="1134" w:right="1463" w:bottom="1418" w:left="1463" w:header="1021" w:footer="709" w:gutter="0"/>
      <w:pgNumType w:start="1"/>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B497A" w14:textId="77777777" w:rsidR="004A1D85" w:rsidRDefault="004A1D85">
      <w:r>
        <w:separator/>
      </w:r>
    </w:p>
  </w:endnote>
  <w:endnote w:type="continuationSeparator" w:id="0">
    <w:p w14:paraId="267ED27F" w14:textId="77777777" w:rsidR="004A1D85" w:rsidRDefault="004A1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bar">
    <w:altName w:val="Arial Narrow"/>
    <w:charset w:val="00"/>
    <w:family w:val="swiss"/>
    <w:pitch w:val="variable"/>
    <w:sig w:usb0="00000003" w:usb1="00000000" w:usb2="00000000" w:usb3="00000000" w:csb0="00000001" w:csb1="00000000"/>
  </w:font>
  <w:font w:name="NewSaturionCyr">
    <w:altName w:val="Times New Roman"/>
    <w:charset w:val="00"/>
    <w:family w:val="roman"/>
    <w:pitch w:val="variable"/>
    <w:sig w:usb0="00000001" w:usb1="00000000" w:usb2="00000000" w:usb3="00000000" w:csb0="0000001F" w:csb1="00000000"/>
  </w:font>
  <w:font w:name="HebarU">
    <w:altName w:val="Courier New"/>
    <w:charset w:val="00"/>
    <w:family w:val="auto"/>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NewSaturionModernCyr">
    <w:altName w:val="Times New Roman"/>
    <w:charset w:val="00"/>
    <w:family w:val="roman"/>
    <w:pitch w:val="variable"/>
    <w:sig w:usb0="00000001"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677BC" w14:textId="40C56D61" w:rsidR="00AD087A" w:rsidRPr="00A67E7B" w:rsidRDefault="00831FAB" w:rsidP="0052153C">
    <w:pPr>
      <w:jc w:val="right"/>
      <w:rPr>
        <w:rFonts w:ascii="Times New Roman" w:hAnsi="Times New Roman"/>
        <w:caps/>
        <w:sz w:val="16"/>
        <w:szCs w:val="16"/>
        <w:lang w:val="ru-RU"/>
      </w:rPr>
    </w:pPr>
    <w:r>
      <w:fldChar w:fldCharType="begin"/>
    </w:r>
    <w:r>
      <w:instrText xml:space="preserve"> FILENAME  \* MERGEFORMAT </w:instrText>
    </w:r>
    <w:r>
      <w:fldChar w:fldCharType="separate"/>
    </w:r>
    <w:r w:rsidR="00607806" w:rsidRPr="00607806">
      <w:rPr>
        <w:rFonts w:ascii="Times New Roman" w:hAnsi="Times New Roman"/>
        <w:caps/>
        <w:noProof/>
        <w:sz w:val="16"/>
        <w:szCs w:val="16"/>
        <w:lang w:val="ru-RU"/>
      </w:rPr>
      <w:t>MN-Z-</w:t>
    </w:r>
    <w:r w:rsidR="00607806" w:rsidRPr="00607806">
      <w:rPr>
        <w:rFonts w:ascii="Times New Roman" w:hAnsi="Times New Roman" w:hint="eastAsia"/>
        <w:caps/>
        <w:noProof/>
        <w:sz w:val="16"/>
        <w:szCs w:val="16"/>
        <w:lang w:val="ru-RU"/>
      </w:rPr>
      <w:t>МОТИВИ</w:t>
    </w:r>
    <w:r w:rsidR="00607806" w:rsidRPr="00607806">
      <w:rPr>
        <w:rFonts w:ascii="Times New Roman" w:hAnsi="Times New Roman"/>
        <w:caps/>
        <w:noProof/>
        <w:sz w:val="16"/>
        <w:szCs w:val="16"/>
        <w:lang w:val="ru-RU"/>
      </w:rPr>
      <w:t>.docx</w:t>
    </w:r>
    <w:r>
      <w:rPr>
        <w:rFonts w:ascii="Times New Roman" w:hAnsi="Times New Roman"/>
        <w:caps/>
        <w:noProof/>
        <w:sz w:val="16"/>
        <w:szCs w:val="16"/>
        <w:lang w:val="ru-R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8723E" w14:textId="4B3CDF54" w:rsidR="00AD087A" w:rsidRPr="00A67E7B" w:rsidRDefault="00831FAB" w:rsidP="0052153C">
    <w:pPr>
      <w:jc w:val="right"/>
      <w:rPr>
        <w:rFonts w:ascii="Times New Roman" w:hAnsi="Times New Roman"/>
        <w:caps/>
        <w:sz w:val="16"/>
        <w:szCs w:val="16"/>
        <w:lang w:val="ru-RU"/>
      </w:rPr>
    </w:pPr>
    <w:r>
      <w:fldChar w:fldCharType="begin"/>
    </w:r>
    <w:r>
      <w:instrText xml:space="preserve"> FILENAME  \* MERGEFORMAT </w:instrText>
    </w:r>
    <w:r>
      <w:fldChar w:fldCharType="separate"/>
    </w:r>
    <w:r w:rsidR="00607806" w:rsidRPr="00607806">
      <w:rPr>
        <w:rFonts w:ascii="Times New Roman" w:hAnsi="Times New Roman"/>
        <w:caps/>
        <w:noProof/>
        <w:sz w:val="16"/>
        <w:szCs w:val="16"/>
        <w:lang w:val="ru-RU"/>
      </w:rPr>
      <w:t>MN-Z-</w:t>
    </w:r>
    <w:r w:rsidR="00607806" w:rsidRPr="00607806">
      <w:rPr>
        <w:rFonts w:ascii="Times New Roman" w:hAnsi="Times New Roman" w:hint="eastAsia"/>
        <w:caps/>
        <w:noProof/>
        <w:sz w:val="16"/>
        <w:szCs w:val="16"/>
        <w:lang w:val="ru-RU"/>
      </w:rPr>
      <w:t>МОТИВИ</w:t>
    </w:r>
    <w:r w:rsidR="00607806" w:rsidRPr="00607806">
      <w:rPr>
        <w:rFonts w:ascii="Times New Roman" w:hAnsi="Times New Roman"/>
        <w:caps/>
        <w:noProof/>
        <w:sz w:val="16"/>
        <w:szCs w:val="16"/>
        <w:lang w:val="ru-RU"/>
      </w:rPr>
      <w:t>.docx</w:t>
    </w:r>
    <w:r>
      <w:rPr>
        <w:rFonts w:ascii="Times New Roman" w:hAnsi="Times New Roman"/>
        <w:caps/>
        <w:noProof/>
        <w:sz w:val="16"/>
        <w:szCs w:val="16"/>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EB16B" w14:textId="77777777" w:rsidR="004A1D85" w:rsidRDefault="004A1D85">
      <w:r>
        <w:separator/>
      </w:r>
    </w:p>
  </w:footnote>
  <w:footnote w:type="continuationSeparator" w:id="0">
    <w:p w14:paraId="46AAEA81" w14:textId="77777777" w:rsidR="004A1D85" w:rsidRDefault="004A1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D0FC9" w14:textId="77777777" w:rsidR="00AD087A" w:rsidRDefault="00AD087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CF37FF0" w14:textId="77777777" w:rsidR="00AD087A" w:rsidRDefault="00AD0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08375" w14:textId="77777777" w:rsidR="00AD087A" w:rsidRPr="00A67E7B" w:rsidRDefault="00AD087A">
    <w:pPr>
      <w:pStyle w:val="Header"/>
      <w:framePr w:wrap="around" w:vAnchor="text" w:hAnchor="margin" w:xAlign="center" w:y="1"/>
      <w:rPr>
        <w:rStyle w:val="PageNumber"/>
        <w:rFonts w:ascii="Times New Roman" w:hAnsi="Times New Roman"/>
      </w:rPr>
    </w:pPr>
    <w:r w:rsidRPr="00A67E7B">
      <w:rPr>
        <w:rStyle w:val="PageNumber"/>
        <w:rFonts w:ascii="Times New Roman" w:hAnsi="Times New Roman"/>
      </w:rPr>
      <w:fldChar w:fldCharType="begin"/>
    </w:r>
    <w:r w:rsidRPr="00A67E7B">
      <w:rPr>
        <w:rStyle w:val="PageNumber"/>
        <w:rFonts w:ascii="Times New Roman" w:hAnsi="Times New Roman"/>
      </w:rPr>
      <w:instrText xml:space="preserve">PAGE  </w:instrText>
    </w:r>
    <w:r w:rsidRPr="00A67E7B">
      <w:rPr>
        <w:rStyle w:val="PageNumber"/>
        <w:rFonts w:ascii="Times New Roman" w:hAnsi="Times New Roman"/>
      </w:rPr>
      <w:fldChar w:fldCharType="separate"/>
    </w:r>
    <w:r w:rsidRPr="00A67E7B">
      <w:rPr>
        <w:rStyle w:val="PageNumber"/>
        <w:rFonts w:ascii="Times New Roman" w:hAnsi="Times New Roman"/>
        <w:noProof/>
      </w:rPr>
      <w:t>2</w:t>
    </w:r>
    <w:r w:rsidRPr="00A67E7B">
      <w:rPr>
        <w:rStyle w:val="PageNumber"/>
        <w:rFonts w:ascii="Times New Roman" w:hAnsi="Times New Roman"/>
      </w:rPr>
      <w:fldChar w:fldCharType="end"/>
    </w:r>
  </w:p>
  <w:p w14:paraId="4D6FECFB" w14:textId="77777777" w:rsidR="00AD087A" w:rsidRPr="00A67E7B" w:rsidRDefault="00AD087A">
    <w:pPr>
      <w:pStyle w:val="Header"/>
      <w:rPr>
        <w:rFonts w:ascii="Times New Roman" w:hAnsi="Times New Roman"/>
        <w:lang w:val="bg-BG"/>
      </w:rPr>
    </w:pPr>
  </w:p>
  <w:p w14:paraId="7B1B0B01" w14:textId="77777777" w:rsidR="00AD087A" w:rsidRPr="004343CF" w:rsidRDefault="00AD087A">
    <w:pPr>
      <w:pStyle w:val="Header"/>
      <w:rPr>
        <w:rFonts w:ascii="Times New Roman" w:hAnsi="Times New Roman"/>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D7586"/>
    <w:multiLevelType w:val="hybridMultilevel"/>
    <w:tmpl w:val="1E562934"/>
    <w:lvl w:ilvl="0" w:tplc="04020003">
      <w:start w:val="1"/>
      <w:numFmt w:val="bullet"/>
      <w:lvlText w:val="o"/>
      <w:lvlJc w:val="left"/>
      <w:pPr>
        <w:ind w:left="644" w:hanging="360"/>
      </w:pPr>
      <w:rPr>
        <w:rFonts w:ascii="Courier New" w:hAnsi="Courier New"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25532AA1"/>
    <w:multiLevelType w:val="hybridMultilevel"/>
    <w:tmpl w:val="A57ACAC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262805DE"/>
    <w:multiLevelType w:val="hybridMultilevel"/>
    <w:tmpl w:val="891A0CE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345310B1"/>
    <w:multiLevelType w:val="hybridMultilevel"/>
    <w:tmpl w:val="1F8230B6"/>
    <w:lvl w:ilvl="0" w:tplc="0402000B">
      <w:start w:val="1"/>
      <w:numFmt w:val="bullet"/>
      <w:lvlText w:val=""/>
      <w:lvlJc w:val="left"/>
      <w:pPr>
        <w:ind w:left="1425" w:hanging="360"/>
      </w:pPr>
      <w:rPr>
        <w:rFonts w:ascii="Wingdings" w:hAnsi="Wingdings" w:hint="default"/>
      </w:rPr>
    </w:lvl>
    <w:lvl w:ilvl="1" w:tplc="04020003" w:tentative="1">
      <w:start w:val="1"/>
      <w:numFmt w:val="bullet"/>
      <w:lvlText w:val="o"/>
      <w:lvlJc w:val="left"/>
      <w:pPr>
        <w:ind w:left="2145" w:hanging="360"/>
      </w:pPr>
      <w:rPr>
        <w:rFonts w:ascii="Courier New" w:hAnsi="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4" w15:restartNumberingAfterBreak="0">
    <w:nsid w:val="3FB54C5A"/>
    <w:multiLevelType w:val="hybridMultilevel"/>
    <w:tmpl w:val="A3D83A38"/>
    <w:lvl w:ilvl="0" w:tplc="BE1A958C">
      <w:start w:val="1"/>
      <w:numFmt w:val="upperRoman"/>
      <w:lvlText w:val="%1."/>
      <w:lvlJc w:val="left"/>
      <w:pPr>
        <w:ind w:left="1080" w:hanging="72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5" w15:restartNumberingAfterBreak="0">
    <w:nsid w:val="51724775"/>
    <w:multiLevelType w:val="hybridMultilevel"/>
    <w:tmpl w:val="63EE25AC"/>
    <w:lvl w:ilvl="0" w:tplc="0402000B">
      <w:start w:val="1"/>
      <w:numFmt w:val="bullet"/>
      <w:lvlText w:val=""/>
      <w:lvlJc w:val="left"/>
      <w:pPr>
        <w:ind w:left="3621" w:hanging="360"/>
      </w:pPr>
      <w:rPr>
        <w:rFonts w:ascii="Wingdings" w:hAnsi="Wingdings" w:hint="default"/>
      </w:rPr>
    </w:lvl>
    <w:lvl w:ilvl="1" w:tplc="04020003" w:tentative="1">
      <w:start w:val="1"/>
      <w:numFmt w:val="bullet"/>
      <w:lvlText w:val="o"/>
      <w:lvlJc w:val="left"/>
      <w:pPr>
        <w:ind w:left="4341" w:hanging="360"/>
      </w:pPr>
      <w:rPr>
        <w:rFonts w:ascii="Courier New" w:hAnsi="Courier New" w:hint="default"/>
      </w:rPr>
    </w:lvl>
    <w:lvl w:ilvl="2" w:tplc="04020005" w:tentative="1">
      <w:start w:val="1"/>
      <w:numFmt w:val="bullet"/>
      <w:lvlText w:val=""/>
      <w:lvlJc w:val="left"/>
      <w:pPr>
        <w:ind w:left="5061" w:hanging="360"/>
      </w:pPr>
      <w:rPr>
        <w:rFonts w:ascii="Wingdings" w:hAnsi="Wingdings" w:hint="default"/>
      </w:rPr>
    </w:lvl>
    <w:lvl w:ilvl="3" w:tplc="04020001" w:tentative="1">
      <w:start w:val="1"/>
      <w:numFmt w:val="bullet"/>
      <w:lvlText w:val=""/>
      <w:lvlJc w:val="left"/>
      <w:pPr>
        <w:ind w:left="5781" w:hanging="360"/>
      </w:pPr>
      <w:rPr>
        <w:rFonts w:ascii="Symbol" w:hAnsi="Symbol" w:hint="default"/>
      </w:rPr>
    </w:lvl>
    <w:lvl w:ilvl="4" w:tplc="04020003" w:tentative="1">
      <w:start w:val="1"/>
      <w:numFmt w:val="bullet"/>
      <w:lvlText w:val="o"/>
      <w:lvlJc w:val="left"/>
      <w:pPr>
        <w:ind w:left="6501" w:hanging="360"/>
      </w:pPr>
      <w:rPr>
        <w:rFonts w:ascii="Courier New" w:hAnsi="Courier New" w:hint="default"/>
      </w:rPr>
    </w:lvl>
    <w:lvl w:ilvl="5" w:tplc="04020005" w:tentative="1">
      <w:start w:val="1"/>
      <w:numFmt w:val="bullet"/>
      <w:lvlText w:val=""/>
      <w:lvlJc w:val="left"/>
      <w:pPr>
        <w:ind w:left="7221" w:hanging="360"/>
      </w:pPr>
      <w:rPr>
        <w:rFonts w:ascii="Wingdings" w:hAnsi="Wingdings" w:hint="default"/>
      </w:rPr>
    </w:lvl>
    <w:lvl w:ilvl="6" w:tplc="04020001" w:tentative="1">
      <w:start w:val="1"/>
      <w:numFmt w:val="bullet"/>
      <w:lvlText w:val=""/>
      <w:lvlJc w:val="left"/>
      <w:pPr>
        <w:ind w:left="7941" w:hanging="360"/>
      </w:pPr>
      <w:rPr>
        <w:rFonts w:ascii="Symbol" w:hAnsi="Symbol" w:hint="default"/>
      </w:rPr>
    </w:lvl>
    <w:lvl w:ilvl="7" w:tplc="04020003" w:tentative="1">
      <w:start w:val="1"/>
      <w:numFmt w:val="bullet"/>
      <w:lvlText w:val="o"/>
      <w:lvlJc w:val="left"/>
      <w:pPr>
        <w:ind w:left="8661" w:hanging="360"/>
      </w:pPr>
      <w:rPr>
        <w:rFonts w:ascii="Courier New" w:hAnsi="Courier New" w:hint="default"/>
      </w:rPr>
    </w:lvl>
    <w:lvl w:ilvl="8" w:tplc="04020005" w:tentative="1">
      <w:start w:val="1"/>
      <w:numFmt w:val="bullet"/>
      <w:lvlText w:val=""/>
      <w:lvlJc w:val="left"/>
      <w:pPr>
        <w:ind w:left="9381" w:hanging="360"/>
      </w:pPr>
      <w:rPr>
        <w:rFonts w:ascii="Wingdings" w:hAnsi="Wingdings" w:hint="default"/>
      </w:rPr>
    </w:lvl>
  </w:abstractNum>
  <w:abstractNum w:abstractNumId="6" w15:restartNumberingAfterBreak="0">
    <w:nsid w:val="6C23580A"/>
    <w:multiLevelType w:val="hybridMultilevel"/>
    <w:tmpl w:val="EFCCEB98"/>
    <w:lvl w:ilvl="0" w:tplc="0402000B">
      <w:start w:val="1"/>
      <w:numFmt w:val="bullet"/>
      <w:lvlText w:val=""/>
      <w:lvlJc w:val="left"/>
      <w:pPr>
        <w:ind w:left="2415" w:hanging="360"/>
      </w:pPr>
      <w:rPr>
        <w:rFonts w:ascii="Wingdings" w:hAnsi="Wingdings" w:hint="default"/>
      </w:rPr>
    </w:lvl>
    <w:lvl w:ilvl="1" w:tplc="04020003" w:tentative="1">
      <w:start w:val="1"/>
      <w:numFmt w:val="bullet"/>
      <w:lvlText w:val="o"/>
      <w:lvlJc w:val="left"/>
      <w:pPr>
        <w:ind w:left="3135" w:hanging="360"/>
      </w:pPr>
      <w:rPr>
        <w:rFonts w:ascii="Courier New" w:hAnsi="Courier New" w:hint="default"/>
      </w:rPr>
    </w:lvl>
    <w:lvl w:ilvl="2" w:tplc="04020005" w:tentative="1">
      <w:start w:val="1"/>
      <w:numFmt w:val="bullet"/>
      <w:lvlText w:val=""/>
      <w:lvlJc w:val="left"/>
      <w:pPr>
        <w:ind w:left="3855" w:hanging="360"/>
      </w:pPr>
      <w:rPr>
        <w:rFonts w:ascii="Wingdings" w:hAnsi="Wingdings" w:hint="default"/>
      </w:rPr>
    </w:lvl>
    <w:lvl w:ilvl="3" w:tplc="04020001" w:tentative="1">
      <w:start w:val="1"/>
      <w:numFmt w:val="bullet"/>
      <w:lvlText w:val=""/>
      <w:lvlJc w:val="left"/>
      <w:pPr>
        <w:ind w:left="4575" w:hanging="360"/>
      </w:pPr>
      <w:rPr>
        <w:rFonts w:ascii="Symbol" w:hAnsi="Symbol" w:hint="default"/>
      </w:rPr>
    </w:lvl>
    <w:lvl w:ilvl="4" w:tplc="04020003" w:tentative="1">
      <w:start w:val="1"/>
      <w:numFmt w:val="bullet"/>
      <w:lvlText w:val="o"/>
      <w:lvlJc w:val="left"/>
      <w:pPr>
        <w:ind w:left="5295" w:hanging="360"/>
      </w:pPr>
      <w:rPr>
        <w:rFonts w:ascii="Courier New" w:hAnsi="Courier New" w:hint="default"/>
      </w:rPr>
    </w:lvl>
    <w:lvl w:ilvl="5" w:tplc="04020005" w:tentative="1">
      <w:start w:val="1"/>
      <w:numFmt w:val="bullet"/>
      <w:lvlText w:val=""/>
      <w:lvlJc w:val="left"/>
      <w:pPr>
        <w:ind w:left="6015" w:hanging="360"/>
      </w:pPr>
      <w:rPr>
        <w:rFonts w:ascii="Wingdings" w:hAnsi="Wingdings" w:hint="default"/>
      </w:rPr>
    </w:lvl>
    <w:lvl w:ilvl="6" w:tplc="04020001" w:tentative="1">
      <w:start w:val="1"/>
      <w:numFmt w:val="bullet"/>
      <w:lvlText w:val=""/>
      <w:lvlJc w:val="left"/>
      <w:pPr>
        <w:ind w:left="6735" w:hanging="360"/>
      </w:pPr>
      <w:rPr>
        <w:rFonts w:ascii="Symbol" w:hAnsi="Symbol" w:hint="default"/>
      </w:rPr>
    </w:lvl>
    <w:lvl w:ilvl="7" w:tplc="04020003" w:tentative="1">
      <w:start w:val="1"/>
      <w:numFmt w:val="bullet"/>
      <w:lvlText w:val="o"/>
      <w:lvlJc w:val="left"/>
      <w:pPr>
        <w:ind w:left="7455" w:hanging="360"/>
      </w:pPr>
      <w:rPr>
        <w:rFonts w:ascii="Courier New" w:hAnsi="Courier New" w:hint="default"/>
      </w:rPr>
    </w:lvl>
    <w:lvl w:ilvl="8" w:tplc="04020005" w:tentative="1">
      <w:start w:val="1"/>
      <w:numFmt w:val="bullet"/>
      <w:lvlText w:val=""/>
      <w:lvlJc w:val="left"/>
      <w:pPr>
        <w:ind w:left="8175" w:hanging="360"/>
      </w:pPr>
      <w:rPr>
        <w:rFonts w:ascii="Wingdings" w:hAnsi="Wingdings" w:hint="default"/>
      </w:rPr>
    </w:lvl>
  </w:abstractNum>
  <w:num w:numId="1" w16cid:durableId="2103450270">
    <w:abstractNumId w:val="5"/>
  </w:num>
  <w:num w:numId="2" w16cid:durableId="1518542976">
    <w:abstractNumId w:val="3"/>
  </w:num>
  <w:num w:numId="3" w16cid:durableId="41105145">
    <w:abstractNumId w:val="0"/>
  </w:num>
  <w:num w:numId="4" w16cid:durableId="1565724158">
    <w:abstractNumId w:val="1"/>
  </w:num>
  <w:num w:numId="5" w16cid:durableId="1570577068">
    <w:abstractNumId w:val="6"/>
  </w:num>
  <w:num w:numId="6" w16cid:durableId="1222248790">
    <w:abstractNumId w:val="4"/>
  </w:num>
  <w:num w:numId="7" w16cid:durableId="463890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E8"/>
    <w:rsid w:val="00007415"/>
    <w:rsid w:val="000172E4"/>
    <w:rsid w:val="00040404"/>
    <w:rsid w:val="00050D9F"/>
    <w:rsid w:val="00055E5C"/>
    <w:rsid w:val="0006233E"/>
    <w:rsid w:val="00065B09"/>
    <w:rsid w:val="0006731A"/>
    <w:rsid w:val="00076940"/>
    <w:rsid w:val="00080705"/>
    <w:rsid w:val="00095CF1"/>
    <w:rsid w:val="000A36FC"/>
    <w:rsid w:val="000A7804"/>
    <w:rsid w:val="000B3D48"/>
    <w:rsid w:val="000B3F5C"/>
    <w:rsid w:val="000E1E33"/>
    <w:rsid w:val="000E2EE1"/>
    <w:rsid w:val="000F4878"/>
    <w:rsid w:val="000F6735"/>
    <w:rsid w:val="00101719"/>
    <w:rsid w:val="001019D1"/>
    <w:rsid w:val="0011488D"/>
    <w:rsid w:val="00114EA5"/>
    <w:rsid w:val="001232F1"/>
    <w:rsid w:val="001247DD"/>
    <w:rsid w:val="00147990"/>
    <w:rsid w:val="00151081"/>
    <w:rsid w:val="00165ECF"/>
    <w:rsid w:val="001902BA"/>
    <w:rsid w:val="00193613"/>
    <w:rsid w:val="001B0C51"/>
    <w:rsid w:val="001B21EF"/>
    <w:rsid w:val="001B311D"/>
    <w:rsid w:val="001C1AA5"/>
    <w:rsid w:val="001C27B2"/>
    <w:rsid w:val="001C623C"/>
    <w:rsid w:val="001C765C"/>
    <w:rsid w:val="001C7C50"/>
    <w:rsid w:val="001D2797"/>
    <w:rsid w:val="001E0E64"/>
    <w:rsid w:val="001F0C5E"/>
    <w:rsid w:val="001F109F"/>
    <w:rsid w:val="00200362"/>
    <w:rsid w:val="00216BB5"/>
    <w:rsid w:val="00224F7F"/>
    <w:rsid w:val="00234F17"/>
    <w:rsid w:val="002469B9"/>
    <w:rsid w:val="00251D6E"/>
    <w:rsid w:val="002553AB"/>
    <w:rsid w:val="00255B7D"/>
    <w:rsid w:val="00263307"/>
    <w:rsid w:val="002743E4"/>
    <w:rsid w:val="002805FB"/>
    <w:rsid w:val="00287754"/>
    <w:rsid w:val="002C0227"/>
    <w:rsid w:val="002C08C4"/>
    <w:rsid w:val="002C6AFA"/>
    <w:rsid w:val="002D76CB"/>
    <w:rsid w:val="002E08B6"/>
    <w:rsid w:val="002E1F80"/>
    <w:rsid w:val="00307C98"/>
    <w:rsid w:val="003160E8"/>
    <w:rsid w:val="00322981"/>
    <w:rsid w:val="00326420"/>
    <w:rsid w:val="00327C7B"/>
    <w:rsid w:val="00357B65"/>
    <w:rsid w:val="00361393"/>
    <w:rsid w:val="00365998"/>
    <w:rsid w:val="003902BB"/>
    <w:rsid w:val="003916AF"/>
    <w:rsid w:val="003A24FF"/>
    <w:rsid w:val="003A2A0D"/>
    <w:rsid w:val="003A6F92"/>
    <w:rsid w:val="003B1FC8"/>
    <w:rsid w:val="003B62B1"/>
    <w:rsid w:val="003C02E9"/>
    <w:rsid w:val="003C496A"/>
    <w:rsid w:val="003D6EE4"/>
    <w:rsid w:val="003E7829"/>
    <w:rsid w:val="00404A6A"/>
    <w:rsid w:val="00406D09"/>
    <w:rsid w:val="00410B81"/>
    <w:rsid w:val="00416062"/>
    <w:rsid w:val="0042458D"/>
    <w:rsid w:val="0043009C"/>
    <w:rsid w:val="004343CF"/>
    <w:rsid w:val="00435CCA"/>
    <w:rsid w:val="004405FE"/>
    <w:rsid w:val="00446581"/>
    <w:rsid w:val="0044741E"/>
    <w:rsid w:val="00464EE6"/>
    <w:rsid w:val="00470907"/>
    <w:rsid w:val="00487D19"/>
    <w:rsid w:val="00490227"/>
    <w:rsid w:val="004945E7"/>
    <w:rsid w:val="004A1D85"/>
    <w:rsid w:val="004B14EC"/>
    <w:rsid w:val="004B4A70"/>
    <w:rsid w:val="004B5B01"/>
    <w:rsid w:val="004C4EC3"/>
    <w:rsid w:val="004C5C6C"/>
    <w:rsid w:val="004C7856"/>
    <w:rsid w:val="005033E0"/>
    <w:rsid w:val="005075C6"/>
    <w:rsid w:val="005202D7"/>
    <w:rsid w:val="0052153C"/>
    <w:rsid w:val="00524A62"/>
    <w:rsid w:val="005321AB"/>
    <w:rsid w:val="00532B63"/>
    <w:rsid w:val="005374EB"/>
    <w:rsid w:val="00543CA4"/>
    <w:rsid w:val="00544B67"/>
    <w:rsid w:val="005503AA"/>
    <w:rsid w:val="0055334E"/>
    <w:rsid w:val="00557EA5"/>
    <w:rsid w:val="0058543A"/>
    <w:rsid w:val="00590DC5"/>
    <w:rsid w:val="005B7B97"/>
    <w:rsid w:val="005E23BB"/>
    <w:rsid w:val="005E2FAA"/>
    <w:rsid w:val="00601E7F"/>
    <w:rsid w:val="00607806"/>
    <w:rsid w:val="006112DA"/>
    <w:rsid w:val="006126B0"/>
    <w:rsid w:val="00617F5B"/>
    <w:rsid w:val="006260C6"/>
    <w:rsid w:val="006374F1"/>
    <w:rsid w:val="00646E99"/>
    <w:rsid w:val="00663F66"/>
    <w:rsid w:val="00680C33"/>
    <w:rsid w:val="00695542"/>
    <w:rsid w:val="006B791C"/>
    <w:rsid w:val="006C0DB0"/>
    <w:rsid w:val="006C65B4"/>
    <w:rsid w:val="006D149C"/>
    <w:rsid w:val="006D7DBF"/>
    <w:rsid w:val="006E018F"/>
    <w:rsid w:val="006E20E3"/>
    <w:rsid w:val="006F151B"/>
    <w:rsid w:val="006F4CBD"/>
    <w:rsid w:val="007006FE"/>
    <w:rsid w:val="0071097D"/>
    <w:rsid w:val="007216A1"/>
    <w:rsid w:val="00737F39"/>
    <w:rsid w:val="00775FF6"/>
    <w:rsid w:val="00791C0B"/>
    <w:rsid w:val="007A4F26"/>
    <w:rsid w:val="007C0969"/>
    <w:rsid w:val="007D0119"/>
    <w:rsid w:val="007D1028"/>
    <w:rsid w:val="007E5BD8"/>
    <w:rsid w:val="007F2214"/>
    <w:rsid w:val="00801C3F"/>
    <w:rsid w:val="00803ADB"/>
    <w:rsid w:val="00804255"/>
    <w:rsid w:val="00831FAB"/>
    <w:rsid w:val="0083405F"/>
    <w:rsid w:val="008424E0"/>
    <w:rsid w:val="008464CC"/>
    <w:rsid w:val="0086181A"/>
    <w:rsid w:val="008630EC"/>
    <w:rsid w:val="0087096A"/>
    <w:rsid w:val="00881B55"/>
    <w:rsid w:val="008A019C"/>
    <w:rsid w:val="008A0F64"/>
    <w:rsid w:val="008B02D8"/>
    <w:rsid w:val="008C11C0"/>
    <w:rsid w:val="008E1559"/>
    <w:rsid w:val="008F293A"/>
    <w:rsid w:val="008F7AE5"/>
    <w:rsid w:val="00904DD3"/>
    <w:rsid w:val="00905B61"/>
    <w:rsid w:val="00915613"/>
    <w:rsid w:val="00916222"/>
    <w:rsid w:val="009177C9"/>
    <w:rsid w:val="009214E6"/>
    <w:rsid w:val="00932CF8"/>
    <w:rsid w:val="0099021C"/>
    <w:rsid w:val="00990366"/>
    <w:rsid w:val="00994D64"/>
    <w:rsid w:val="009B2C89"/>
    <w:rsid w:val="009B4B81"/>
    <w:rsid w:val="009B68B3"/>
    <w:rsid w:val="009B76A3"/>
    <w:rsid w:val="009D21FD"/>
    <w:rsid w:val="009D7025"/>
    <w:rsid w:val="00A018E4"/>
    <w:rsid w:val="00A02A74"/>
    <w:rsid w:val="00A124B9"/>
    <w:rsid w:val="00A12686"/>
    <w:rsid w:val="00A14E68"/>
    <w:rsid w:val="00A25CC8"/>
    <w:rsid w:val="00A27685"/>
    <w:rsid w:val="00A31E3E"/>
    <w:rsid w:val="00A34F2C"/>
    <w:rsid w:val="00A52257"/>
    <w:rsid w:val="00A57A93"/>
    <w:rsid w:val="00A6158C"/>
    <w:rsid w:val="00A63163"/>
    <w:rsid w:val="00A65723"/>
    <w:rsid w:val="00A67E7B"/>
    <w:rsid w:val="00A83BB6"/>
    <w:rsid w:val="00A92287"/>
    <w:rsid w:val="00A93DD8"/>
    <w:rsid w:val="00A94298"/>
    <w:rsid w:val="00A95806"/>
    <w:rsid w:val="00A97573"/>
    <w:rsid w:val="00AA1688"/>
    <w:rsid w:val="00AB2D4B"/>
    <w:rsid w:val="00AD087A"/>
    <w:rsid w:val="00AD3749"/>
    <w:rsid w:val="00AD64C7"/>
    <w:rsid w:val="00AF2C6E"/>
    <w:rsid w:val="00AF32C1"/>
    <w:rsid w:val="00B03B72"/>
    <w:rsid w:val="00B10EA3"/>
    <w:rsid w:val="00B1430E"/>
    <w:rsid w:val="00B2544A"/>
    <w:rsid w:val="00B738AD"/>
    <w:rsid w:val="00B77163"/>
    <w:rsid w:val="00BB0346"/>
    <w:rsid w:val="00BB0613"/>
    <w:rsid w:val="00BB0DFF"/>
    <w:rsid w:val="00BB1768"/>
    <w:rsid w:val="00BB253E"/>
    <w:rsid w:val="00BB4014"/>
    <w:rsid w:val="00BC287C"/>
    <w:rsid w:val="00BC599C"/>
    <w:rsid w:val="00BE4C60"/>
    <w:rsid w:val="00BE5346"/>
    <w:rsid w:val="00BE6590"/>
    <w:rsid w:val="00BE6EE5"/>
    <w:rsid w:val="00C05E74"/>
    <w:rsid w:val="00C11F14"/>
    <w:rsid w:val="00C16205"/>
    <w:rsid w:val="00C213CB"/>
    <w:rsid w:val="00C459B8"/>
    <w:rsid w:val="00C5560E"/>
    <w:rsid w:val="00C65583"/>
    <w:rsid w:val="00C91335"/>
    <w:rsid w:val="00C94123"/>
    <w:rsid w:val="00CA3F1E"/>
    <w:rsid w:val="00CB73D9"/>
    <w:rsid w:val="00CC4E18"/>
    <w:rsid w:val="00CE3631"/>
    <w:rsid w:val="00CF4BBF"/>
    <w:rsid w:val="00CF73BF"/>
    <w:rsid w:val="00D013AB"/>
    <w:rsid w:val="00D1528B"/>
    <w:rsid w:val="00D26731"/>
    <w:rsid w:val="00D45791"/>
    <w:rsid w:val="00D46713"/>
    <w:rsid w:val="00D573B1"/>
    <w:rsid w:val="00D71501"/>
    <w:rsid w:val="00D80E80"/>
    <w:rsid w:val="00D86E39"/>
    <w:rsid w:val="00D92A8F"/>
    <w:rsid w:val="00D9679C"/>
    <w:rsid w:val="00DC6199"/>
    <w:rsid w:val="00DE1005"/>
    <w:rsid w:val="00DE2D91"/>
    <w:rsid w:val="00DE39CA"/>
    <w:rsid w:val="00DF29A2"/>
    <w:rsid w:val="00E01A69"/>
    <w:rsid w:val="00E07AEE"/>
    <w:rsid w:val="00E17DBD"/>
    <w:rsid w:val="00E27B98"/>
    <w:rsid w:val="00E50D2E"/>
    <w:rsid w:val="00E522CC"/>
    <w:rsid w:val="00E522E9"/>
    <w:rsid w:val="00E5592E"/>
    <w:rsid w:val="00E70618"/>
    <w:rsid w:val="00E717E1"/>
    <w:rsid w:val="00E97846"/>
    <w:rsid w:val="00EB0E3F"/>
    <w:rsid w:val="00EC3B52"/>
    <w:rsid w:val="00EC40B3"/>
    <w:rsid w:val="00EC4E5F"/>
    <w:rsid w:val="00EC5548"/>
    <w:rsid w:val="00ED238C"/>
    <w:rsid w:val="00ED4BAB"/>
    <w:rsid w:val="00EE492F"/>
    <w:rsid w:val="00EE7D4F"/>
    <w:rsid w:val="00F06AAB"/>
    <w:rsid w:val="00F100BC"/>
    <w:rsid w:val="00F141DB"/>
    <w:rsid w:val="00F24630"/>
    <w:rsid w:val="00F41459"/>
    <w:rsid w:val="00F44114"/>
    <w:rsid w:val="00F90BFF"/>
    <w:rsid w:val="00F9263A"/>
    <w:rsid w:val="00FA009F"/>
    <w:rsid w:val="00FA1216"/>
    <w:rsid w:val="00FD5C41"/>
    <w:rsid w:val="00FE302E"/>
    <w:rsid w:val="00FE3E77"/>
    <w:rsid w:val="00FE7D94"/>
    <w:rsid w:val="00FF0506"/>
    <w:rsid w:val="00FF6D9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60E342B"/>
  <w15:docId w15:val="{8BE8344B-23E7-4A4D-ACAB-24F3B2B97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B97"/>
    <w:rPr>
      <w:rFonts w:ascii="Hebar" w:hAnsi="Hebar"/>
      <w:sz w:val="24"/>
      <w:lang w:val="en-GB" w:eastAsia="en-US"/>
    </w:rPr>
  </w:style>
  <w:style w:type="paragraph" w:styleId="Heading1">
    <w:name w:val="heading 1"/>
    <w:basedOn w:val="Normal"/>
    <w:next w:val="Normal"/>
    <w:link w:val="Heading1Char"/>
    <w:uiPriority w:val="99"/>
    <w:qFormat/>
    <w:rsid w:val="005B7B97"/>
    <w:pPr>
      <w:keepNext/>
      <w:jc w:val="center"/>
      <w:outlineLvl w:val="0"/>
    </w:pPr>
    <w:rPr>
      <w:rFonts w:ascii="NewSaturionCyr" w:hAnsi="NewSaturionCyr"/>
      <w:b/>
      <w:sz w:val="32"/>
      <w:lang w:val="bg-BG"/>
    </w:rPr>
  </w:style>
  <w:style w:type="paragraph" w:styleId="Heading2">
    <w:name w:val="heading 2"/>
    <w:basedOn w:val="Normal"/>
    <w:next w:val="Normal"/>
    <w:link w:val="Heading2Char"/>
    <w:uiPriority w:val="99"/>
    <w:qFormat/>
    <w:rsid w:val="005B7B97"/>
    <w:pPr>
      <w:keepNext/>
      <w:ind w:left="1701" w:hanging="567"/>
      <w:outlineLvl w:val="1"/>
    </w:pPr>
    <w:rPr>
      <w:rFonts w:ascii="NewSaturionCyr" w:hAnsi="NewSaturionCyr"/>
      <w:b/>
      <w:sz w:val="26"/>
      <w:lang w:val="bg-BG"/>
    </w:rPr>
  </w:style>
  <w:style w:type="paragraph" w:styleId="Heading6">
    <w:name w:val="heading 6"/>
    <w:basedOn w:val="Normal"/>
    <w:next w:val="Normal"/>
    <w:link w:val="Heading6Char"/>
    <w:uiPriority w:val="99"/>
    <w:qFormat/>
    <w:rsid w:val="005B7B97"/>
    <w:pPr>
      <w:keepNext/>
      <w:widowControl w:val="0"/>
      <w:jc w:val="center"/>
      <w:outlineLvl w:val="5"/>
    </w:pPr>
    <w:rPr>
      <w:rFonts w:ascii="HebarU" w:hAnsi="HebarU"/>
      <w:b/>
      <w:sz w:val="22"/>
      <w:lang w:val="bg-BG"/>
    </w:rPr>
  </w:style>
  <w:style w:type="paragraph" w:styleId="Heading7">
    <w:name w:val="heading 7"/>
    <w:basedOn w:val="Normal"/>
    <w:next w:val="Normal"/>
    <w:link w:val="Heading7Char"/>
    <w:uiPriority w:val="99"/>
    <w:qFormat/>
    <w:rsid w:val="005B7B97"/>
    <w:pPr>
      <w:keepNext/>
      <w:widowControl w:val="0"/>
      <w:ind w:firstLine="720"/>
      <w:jc w:val="center"/>
      <w:outlineLvl w:val="6"/>
    </w:pPr>
    <w:rPr>
      <w:rFonts w:ascii="HebarU" w:hAnsi="HebarU"/>
      <w:b/>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503AA"/>
    <w:rPr>
      <w:rFonts w:ascii="Cambria" w:hAnsi="Cambria" w:cs="Times New Roman"/>
      <w:b/>
      <w:bCs/>
      <w:kern w:val="32"/>
      <w:sz w:val="32"/>
      <w:szCs w:val="32"/>
      <w:lang w:val="en-GB" w:eastAsia="en-US"/>
    </w:rPr>
  </w:style>
  <w:style w:type="character" w:customStyle="1" w:styleId="Heading2Char">
    <w:name w:val="Heading 2 Char"/>
    <w:link w:val="Heading2"/>
    <w:uiPriority w:val="99"/>
    <w:semiHidden/>
    <w:locked/>
    <w:rsid w:val="005503AA"/>
    <w:rPr>
      <w:rFonts w:ascii="Cambria" w:hAnsi="Cambria" w:cs="Times New Roman"/>
      <w:b/>
      <w:bCs/>
      <w:i/>
      <w:iCs/>
      <w:sz w:val="28"/>
      <w:szCs w:val="28"/>
      <w:lang w:val="en-GB" w:eastAsia="en-US"/>
    </w:rPr>
  </w:style>
  <w:style w:type="character" w:customStyle="1" w:styleId="Heading6Char">
    <w:name w:val="Heading 6 Char"/>
    <w:link w:val="Heading6"/>
    <w:uiPriority w:val="99"/>
    <w:semiHidden/>
    <w:locked/>
    <w:rsid w:val="005503AA"/>
    <w:rPr>
      <w:rFonts w:ascii="Calibri" w:hAnsi="Calibri" w:cs="Times New Roman"/>
      <w:b/>
      <w:bCs/>
      <w:lang w:val="en-GB" w:eastAsia="en-US"/>
    </w:rPr>
  </w:style>
  <w:style w:type="character" w:customStyle="1" w:styleId="Heading7Char">
    <w:name w:val="Heading 7 Char"/>
    <w:link w:val="Heading7"/>
    <w:uiPriority w:val="99"/>
    <w:semiHidden/>
    <w:locked/>
    <w:rsid w:val="005503AA"/>
    <w:rPr>
      <w:rFonts w:ascii="Calibri" w:hAnsi="Calibri" w:cs="Times New Roman"/>
      <w:sz w:val="24"/>
      <w:szCs w:val="24"/>
      <w:lang w:val="en-GB" w:eastAsia="en-US"/>
    </w:rPr>
  </w:style>
  <w:style w:type="paragraph" w:styleId="CommentText">
    <w:name w:val="annotation text"/>
    <w:basedOn w:val="Normal"/>
    <w:link w:val="CommentTextChar"/>
    <w:uiPriority w:val="99"/>
    <w:semiHidden/>
    <w:rsid w:val="005B7B97"/>
    <w:rPr>
      <w:sz w:val="20"/>
    </w:rPr>
  </w:style>
  <w:style w:type="character" w:customStyle="1" w:styleId="CommentTextChar">
    <w:name w:val="Comment Text Char"/>
    <w:link w:val="CommentText"/>
    <w:uiPriority w:val="99"/>
    <w:semiHidden/>
    <w:locked/>
    <w:rsid w:val="005503AA"/>
    <w:rPr>
      <w:rFonts w:ascii="Hebar" w:hAnsi="Hebar" w:cs="Times New Roman"/>
      <w:sz w:val="20"/>
      <w:szCs w:val="20"/>
      <w:lang w:val="en-GB" w:eastAsia="en-US"/>
    </w:rPr>
  </w:style>
  <w:style w:type="paragraph" w:styleId="Header">
    <w:name w:val="header"/>
    <w:basedOn w:val="Normal"/>
    <w:link w:val="HeaderChar"/>
    <w:uiPriority w:val="99"/>
    <w:rsid w:val="005B7B97"/>
    <w:pPr>
      <w:tabs>
        <w:tab w:val="center" w:pos="4320"/>
        <w:tab w:val="right" w:pos="8640"/>
      </w:tabs>
    </w:pPr>
  </w:style>
  <w:style w:type="character" w:customStyle="1" w:styleId="HeaderChar">
    <w:name w:val="Header Char"/>
    <w:link w:val="Header"/>
    <w:uiPriority w:val="99"/>
    <w:semiHidden/>
    <w:locked/>
    <w:rsid w:val="005503AA"/>
    <w:rPr>
      <w:rFonts w:ascii="Hebar" w:hAnsi="Hebar" w:cs="Times New Roman"/>
      <w:sz w:val="20"/>
      <w:szCs w:val="20"/>
      <w:lang w:val="en-GB" w:eastAsia="en-US"/>
    </w:rPr>
  </w:style>
  <w:style w:type="paragraph" w:styleId="Footer">
    <w:name w:val="footer"/>
    <w:basedOn w:val="Normal"/>
    <w:link w:val="FooterChar"/>
    <w:uiPriority w:val="99"/>
    <w:rsid w:val="005B7B97"/>
    <w:pPr>
      <w:tabs>
        <w:tab w:val="center" w:pos="4320"/>
        <w:tab w:val="right" w:pos="8640"/>
      </w:tabs>
    </w:pPr>
  </w:style>
  <w:style w:type="character" w:customStyle="1" w:styleId="FooterChar">
    <w:name w:val="Footer Char"/>
    <w:link w:val="Footer"/>
    <w:uiPriority w:val="99"/>
    <w:semiHidden/>
    <w:locked/>
    <w:rsid w:val="005503AA"/>
    <w:rPr>
      <w:rFonts w:ascii="Hebar" w:hAnsi="Hebar" w:cs="Times New Roman"/>
      <w:sz w:val="20"/>
      <w:szCs w:val="20"/>
      <w:lang w:val="en-GB" w:eastAsia="en-US"/>
    </w:rPr>
  </w:style>
  <w:style w:type="character" w:styleId="PageNumber">
    <w:name w:val="page number"/>
    <w:uiPriority w:val="99"/>
    <w:rsid w:val="005B7B97"/>
    <w:rPr>
      <w:rFonts w:cs="Times New Roman"/>
    </w:rPr>
  </w:style>
  <w:style w:type="paragraph" w:customStyle="1" w:styleId="BodyText21">
    <w:name w:val="Body Text 21"/>
    <w:basedOn w:val="Normal"/>
    <w:uiPriority w:val="99"/>
    <w:rsid w:val="005B7B97"/>
    <w:pPr>
      <w:widowControl w:val="0"/>
      <w:ind w:firstLine="1418"/>
      <w:jc w:val="both"/>
    </w:pPr>
    <w:rPr>
      <w:rFonts w:ascii="HebarU" w:hAnsi="HebarU"/>
      <w:sz w:val="22"/>
      <w:lang w:val="bg-BG"/>
    </w:rPr>
  </w:style>
  <w:style w:type="paragraph" w:styleId="BodyText3">
    <w:name w:val="Body Text 3"/>
    <w:basedOn w:val="Normal"/>
    <w:link w:val="BodyText3Char"/>
    <w:uiPriority w:val="99"/>
    <w:rsid w:val="005B7B97"/>
    <w:pPr>
      <w:widowControl w:val="0"/>
      <w:jc w:val="both"/>
    </w:pPr>
    <w:rPr>
      <w:rFonts w:ascii="HebarU" w:hAnsi="HebarU"/>
      <w:sz w:val="22"/>
      <w:lang w:val="bg-BG"/>
    </w:rPr>
  </w:style>
  <w:style w:type="character" w:customStyle="1" w:styleId="BodyText3Char">
    <w:name w:val="Body Text 3 Char"/>
    <w:link w:val="BodyText3"/>
    <w:uiPriority w:val="99"/>
    <w:semiHidden/>
    <w:locked/>
    <w:rsid w:val="005503AA"/>
    <w:rPr>
      <w:rFonts w:ascii="Hebar" w:hAnsi="Hebar" w:cs="Times New Roman"/>
      <w:sz w:val="16"/>
      <w:szCs w:val="16"/>
      <w:lang w:val="en-GB" w:eastAsia="en-US"/>
    </w:rPr>
  </w:style>
  <w:style w:type="paragraph" w:styleId="Title">
    <w:name w:val="Title"/>
    <w:basedOn w:val="Normal"/>
    <w:link w:val="TitleChar"/>
    <w:uiPriority w:val="99"/>
    <w:qFormat/>
    <w:rsid w:val="005B7B97"/>
    <w:pPr>
      <w:tabs>
        <w:tab w:val="left" w:pos="1985"/>
      </w:tabs>
      <w:jc w:val="center"/>
    </w:pPr>
    <w:rPr>
      <w:rFonts w:ascii="NewSaturionModernCyr" w:hAnsi="NewSaturionModernCyr"/>
      <w:b/>
      <w:spacing w:val="50"/>
      <w:sz w:val="22"/>
    </w:rPr>
  </w:style>
  <w:style w:type="character" w:customStyle="1" w:styleId="TitleChar">
    <w:name w:val="Title Char"/>
    <w:link w:val="Title"/>
    <w:uiPriority w:val="99"/>
    <w:locked/>
    <w:rsid w:val="005503AA"/>
    <w:rPr>
      <w:rFonts w:ascii="Cambria" w:hAnsi="Cambria" w:cs="Times New Roman"/>
      <w:b/>
      <w:bCs/>
      <w:kern w:val="28"/>
      <w:sz w:val="32"/>
      <w:szCs w:val="32"/>
      <w:lang w:val="en-GB" w:eastAsia="en-US"/>
    </w:rPr>
  </w:style>
  <w:style w:type="paragraph" w:styleId="BodyTextIndent">
    <w:name w:val="Body Text Indent"/>
    <w:basedOn w:val="Normal"/>
    <w:link w:val="BodyTextIndentChar"/>
    <w:uiPriority w:val="99"/>
    <w:rsid w:val="005B7B97"/>
    <w:pPr>
      <w:ind w:firstLine="1134"/>
      <w:jc w:val="both"/>
    </w:pPr>
    <w:rPr>
      <w:rFonts w:ascii="NewSaturionCyr" w:hAnsi="NewSaturionCyr"/>
      <w:sz w:val="26"/>
      <w:lang w:val="bg-BG"/>
    </w:rPr>
  </w:style>
  <w:style w:type="character" w:customStyle="1" w:styleId="BodyTextIndentChar">
    <w:name w:val="Body Text Indent Char"/>
    <w:link w:val="BodyTextIndent"/>
    <w:uiPriority w:val="99"/>
    <w:semiHidden/>
    <w:locked/>
    <w:rsid w:val="005503AA"/>
    <w:rPr>
      <w:rFonts w:ascii="Hebar" w:hAnsi="Hebar" w:cs="Times New Roman"/>
      <w:sz w:val="20"/>
      <w:szCs w:val="20"/>
      <w:lang w:val="en-GB" w:eastAsia="en-US"/>
    </w:rPr>
  </w:style>
  <w:style w:type="paragraph" w:styleId="BodyText">
    <w:name w:val="Body Text"/>
    <w:basedOn w:val="Normal"/>
    <w:link w:val="BodyTextChar"/>
    <w:uiPriority w:val="99"/>
    <w:rsid w:val="0071097D"/>
    <w:pPr>
      <w:spacing w:after="120"/>
    </w:pPr>
  </w:style>
  <w:style w:type="character" w:customStyle="1" w:styleId="BodyTextChar">
    <w:name w:val="Body Text Char"/>
    <w:link w:val="BodyText"/>
    <w:uiPriority w:val="99"/>
    <w:semiHidden/>
    <w:locked/>
    <w:rsid w:val="005503AA"/>
    <w:rPr>
      <w:rFonts w:ascii="Hebar" w:hAnsi="Hebar" w:cs="Times New Roman"/>
      <w:sz w:val="20"/>
      <w:szCs w:val="20"/>
      <w:lang w:val="en-GB" w:eastAsia="en-US"/>
    </w:rPr>
  </w:style>
  <w:style w:type="paragraph" w:customStyle="1" w:styleId="CharCharChar">
    <w:name w:val="Char Char Char Знак"/>
    <w:basedOn w:val="Normal"/>
    <w:uiPriority w:val="99"/>
    <w:rsid w:val="008E1559"/>
    <w:pPr>
      <w:tabs>
        <w:tab w:val="left" w:pos="709"/>
      </w:tabs>
    </w:pPr>
    <w:rPr>
      <w:rFonts w:ascii="Tahoma" w:hAnsi="Tahoma" w:cs="Tahoma"/>
      <w:szCs w:val="24"/>
      <w:lang w:val="pl-PL" w:eastAsia="pl-PL"/>
    </w:rPr>
  </w:style>
  <w:style w:type="paragraph" w:styleId="ListParagraph">
    <w:name w:val="List Paragraph"/>
    <w:basedOn w:val="Normal"/>
    <w:uiPriority w:val="99"/>
    <w:qFormat/>
    <w:rsid w:val="00EC5548"/>
    <w:pPr>
      <w:spacing w:after="160" w:line="259" w:lineRule="auto"/>
      <w:ind w:left="720"/>
      <w:contextualSpacing/>
    </w:pPr>
    <w:rPr>
      <w:rFonts w:ascii="Calibri" w:hAnsi="Calibri"/>
      <w:sz w:val="22"/>
      <w:szCs w:val="22"/>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86129">
      <w:marLeft w:val="0"/>
      <w:marRight w:val="0"/>
      <w:marTop w:val="0"/>
      <w:marBottom w:val="0"/>
      <w:divBdr>
        <w:top w:val="none" w:sz="0" w:space="0" w:color="auto"/>
        <w:left w:val="none" w:sz="0" w:space="0" w:color="auto"/>
        <w:bottom w:val="none" w:sz="0" w:space="0" w:color="auto"/>
        <w:right w:val="none" w:sz="0" w:space="0" w:color="auto"/>
      </w:divBdr>
    </w:div>
    <w:div w:id="159586130">
      <w:marLeft w:val="0"/>
      <w:marRight w:val="0"/>
      <w:marTop w:val="0"/>
      <w:marBottom w:val="0"/>
      <w:divBdr>
        <w:top w:val="none" w:sz="0" w:space="0" w:color="auto"/>
        <w:left w:val="none" w:sz="0" w:space="0" w:color="auto"/>
        <w:bottom w:val="none" w:sz="0" w:space="0" w:color="auto"/>
        <w:right w:val="none" w:sz="0" w:space="0" w:color="auto"/>
      </w:divBdr>
    </w:div>
    <w:div w:id="1595861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5073</Words>
  <Characters>29811</Characters>
  <Application>Microsoft Office Word</Application>
  <DocSecurity>0</DocSecurity>
  <Lines>248</Lines>
  <Paragraphs>69</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34815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Галина Смелова</cp:lastModifiedBy>
  <cp:revision>2</cp:revision>
  <cp:lastPrinted>2026-05-04T11:39:00Z</cp:lastPrinted>
  <dcterms:created xsi:type="dcterms:W3CDTF">2026-05-05T10:31:00Z</dcterms:created>
  <dcterms:modified xsi:type="dcterms:W3CDTF">2026-05-05T10:31:00Z</dcterms:modified>
</cp:coreProperties>
</file>