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921987" w:rsidRDefault="00D80E80">
      <w:pPr>
        <w:jc w:val="center"/>
        <w:rPr>
          <w:rFonts w:ascii="Times New Roman" w:hAnsi="Times New Roman"/>
          <w:b/>
          <w:sz w:val="28"/>
          <w:szCs w:val="28"/>
          <w:lang w:val="bg-BG"/>
        </w:rPr>
      </w:pPr>
      <w:r w:rsidRPr="00921987">
        <w:rPr>
          <w:rFonts w:ascii="Times New Roman" w:hAnsi="Times New Roman"/>
          <w:b/>
          <w:sz w:val="28"/>
          <w:szCs w:val="28"/>
          <w:lang w:val="bg-BG"/>
        </w:rPr>
        <w:t>М</w:t>
      </w:r>
      <w:r w:rsidR="005033E0" w:rsidRPr="00921987">
        <w:rPr>
          <w:rFonts w:ascii="Times New Roman" w:hAnsi="Times New Roman"/>
          <w:b/>
          <w:sz w:val="28"/>
          <w:szCs w:val="28"/>
          <w:lang w:val="bg-BG"/>
        </w:rPr>
        <w:t xml:space="preserve">  </w:t>
      </w:r>
      <w:r w:rsidRPr="00921987">
        <w:rPr>
          <w:rFonts w:ascii="Times New Roman" w:hAnsi="Times New Roman"/>
          <w:b/>
          <w:sz w:val="28"/>
          <w:szCs w:val="28"/>
          <w:lang w:val="bg-BG"/>
        </w:rPr>
        <w:t>О</w:t>
      </w:r>
      <w:r w:rsidR="005033E0" w:rsidRPr="00921987">
        <w:rPr>
          <w:rFonts w:ascii="Times New Roman" w:hAnsi="Times New Roman"/>
          <w:b/>
          <w:sz w:val="28"/>
          <w:szCs w:val="28"/>
          <w:lang w:val="bg-BG"/>
        </w:rPr>
        <w:t xml:space="preserve">  </w:t>
      </w:r>
      <w:r w:rsidRPr="00921987">
        <w:rPr>
          <w:rFonts w:ascii="Times New Roman" w:hAnsi="Times New Roman"/>
          <w:b/>
          <w:sz w:val="28"/>
          <w:szCs w:val="28"/>
          <w:lang w:val="bg-BG"/>
        </w:rPr>
        <w:t>Т</w:t>
      </w:r>
      <w:r w:rsidR="005033E0" w:rsidRPr="00921987">
        <w:rPr>
          <w:rFonts w:ascii="Times New Roman" w:hAnsi="Times New Roman"/>
          <w:b/>
          <w:sz w:val="28"/>
          <w:szCs w:val="28"/>
          <w:lang w:val="bg-BG"/>
        </w:rPr>
        <w:t xml:space="preserve">  </w:t>
      </w:r>
      <w:r w:rsidRPr="00921987">
        <w:rPr>
          <w:rFonts w:ascii="Times New Roman" w:hAnsi="Times New Roman"/>
          <w:b/>
          <w:sz w:val="28"/>
          <w:szCs w:val="28"/>
          <w:lang w:val="bg-BG"/>
        </w:rPr>
        <w:t>И</w:t>
      </w:r>
      <w:r w:rsidR="005033E0" w:rsidRPr="00921987">
        <w:rPr>
          <w:rFonts w:ascii="Times New Roman" w:hAnsi="Times New Roman"/>
          <w:b/>
          <w:sz w:val="28"/>
          <w:szCs w:val="28"/>
          <w:lang w:val="bg-BG"/>
        </w:rPr>
        <w:t xml:space="preserve">  </w:t>
      </w:r>
      <w:r w:rsidRPr="00921987">
        <w:rPr>
          <w:rFonts w:ascii="Times New Roman" w:hAnsi="Times New Roman"/>
          <w:b/>
          <w:sz w:val="28"/>
          <w:szCs w:val="28"/>
          <w:lang w:val="bg-BG"/>
        </w:rPr>
        <w:t>В</w:t>
      </w:r>
      <w:r w:rsidR="005033E0" w:rsidRPr="00921987">
        <w:rPr>
          <w:rFonts w:ascii="Times New Roman" w:hAnsi="Times New Roman"/>
          <w:b/>
          <w:sz w:val="28"/>
          <w:szCs w:val="28"/>
          <w:lang w:val="bg-BG"/>
        </w:rPr>
        <w:t xml:space="preserve">  </w:t>
      </w:r>
      <w:r w:rsidRPr="00921987">
        <w:rPr>
          <w:rFonts w:ascii="Times New Roman" w:hAnsi="Times New Roman"/>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6FD3017C" w:rsidR="00E522E9" w:rsidRPr="00921987" w:rsidRDefault="00E522E9" w:rsidP="00E522E9">
      <w:pPr>
        <w:spacing w:line="288" w:lineRule="auto"/>
        <w:jc w:val="center"/>
        <w:rPr>
          <w:rFonts w:ascii="Times New Roman" w:hAnsi="Times New Roman"/>
          <w:b/>
          <w:sz w:val="28"/>
          <w:szCs w:val="28"/>
          <w:lang w:val="bg-BG"/>
        </w:rPr>
      </w:pPr>
      <w:r w:rsidRPr="00921987">
        <w:rPr>
          <w:rFonts w:ascii="Times New Roman" w:hAnsi="Times New Roman"/>
          <w:b/>
          <w:sz w:val="28"/>
          <w:szCs w:val="28"/>
          <w:lang w:val="bg-BG"/>
        </w:rPr>
        <w:t xml:space="preserve">към проекта на Закон за </w:t>
      </w:r>
      <w:r w:rsidR="00132B67" w:rsidRPr="00132B67">
        <w:rPr>
          <w:rFonts w:ascii="Times New Roman" w:hAnsi="Times New Roman" w:hint="eastAsia"/>
          <w:b/>
          <w:sz w:val="28"/>
          <w:szCs w:val="28"/>
          <w:lang w:val="bg-BG"/>
        </w:rPr>
        <w:t>изменение</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и</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допълнение</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на</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Данъчно</w:t>
      </w:r>
      <w:r w:rsidR="00132B67" w:rsidRPr="00132B67">
        <w:rPr>
          <w:rFonts w:ascii="Times New Roman" w:hAnsi="Times New Roman"/>
          <w:b/>
          <w:sz w:val="28"/>
          <w:szCs w:val="28"/>
          <w:lang w:val="bg-BG"/>
        </w:rPr>
        <w:t>-</w:t>
      </w:r>
      <w:r w:rsidR="00132B67" w:rsidRPr="00132B67">
        <w:rPr>
          <w:rFonts w:ascii="Times New Roman" w:hAnsi="Times New Roman" w:hint="eastAsia"/>
          <w:b/>
          <w:sz w:val="28"/>
          <w:szCs w:val="28"/>
          <w:lang w:val="bg-BG"/>
        </w:rPr>
        <w:t>осигурителния</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процесуален</w:t>
      </w:r>
      <w:r w:rsidR="00132B67" w:rsidRPr="00132B67">
        <w:rPr>
          <w:rFonts w:ascii="Times New Roman" w:hAnsi="Times New Roman"/>
          <w:b/>
          <w:sz w:val="28"/>
          <w:szCs w:val="28"/>
          <w:lang w:val="bg-BG"/>
        </w:rPr>
        <w:t xml:space="preserve"> </w:t>
      </w:r>
      <w:r w:rsidR="00132B67" w:rsidRPr="00132B67">
        <w:rPr>
          <w:rFonts w:ascii="Times New Roman" w:hAnsi="Times New Roman" w:hint="eastAsia"/>
          <w:b/>
          <w:sz w:val="28"/>
          <w:szCs w:val="28"/>
          <w:lang w:val="bg-BG"/>
        </w:rPr>
        <w:t>кодекс</w:t>
      </w:r>
    </w:p>
    <w:p w14:paraId="6CAF6133" w14:textId="77777777" w:rsidR="005033E0" w:rsidRPr="00921987" w:rsidRDefault="005033E0" w:rsidP="00D013AB">
      <w:pPr>
        <w:spacing w:line="288" w:lineRule="auto"/>
        <w:jc w:val="center"/>
        <w:rPr>
          <w:rFonts w:ascii="Times New Roman" w:hAnsi="Times New Roman"/>
          <w:b/>
          <w:sz w:val="28"/>
          <w:szCs w:val="28"/>
          <w:lang w:val="bg-BG"/>
        </w:rPr>
      </w:pPr>
    </w:p>
    <w:p w14:paraId="1F30C4F6" w14:textId="77777777" w:rsidR="005033E0" w:rsidRPr="00921987" w:rsidRDefault="005033E0" w:rsidP="00D013AB">
      <w:pPr>
        <w:spacing w:line="288" w:lineRule="auto"/>
        <w:jc w:val="center"/>
        <w:rPr>
          <w:rFonts w:ascii="Times New Roman" w:hAnsi="Times New Roman"/>
          <w:b/>
          <w:sz w:val="28"/>
          <w:szCs w:val="28"/>
          <w:lang w:val="bg-BG"/>
        </w:rPr>
      </w:pPr>
    </w:p>
    <w:p w14:paraId="1970C354" w14:textId="77777777" w:rsidR="002F675A" w:rsidRPr="00C06601" w:rsidRDefault="002F675A" w:rsidP="002F675A">
      <w:pPr>
        <w:spacing w:before="120" w:line="360" w:lineRule="auto"/>
        <w:ind w:firstLine="1134"/>
        <w:jc w:val="both"/>
        <w:rPr>
          <w:rFonts w:ascii="Times New Roman" w:hAnsi="Times New Roman"/>
          <w:b/>
          <w:bCs/>
          <w:sz w:val="28"/>
          <w:szCs w:val="28"/>
          <w:lang w:val="bg-BG"/>
        </w:rPr>
      </w:pPr>
      <w:r w:rsidRPr="00C06601">
        <w:rPr>
          <w:rFonts w:ascii="Times New Roman" w:hAnsi="Times New Roman"/>
          <w:b/>
          <w:bCs/>
          <w:sz w:val="28"/>
          <w:szCs w:val="28"/>
          <w:lang w:val="bg-BG"/>
        </w:rPr>
        <w:t>1.</w:t>
      </w:r>
      <w:r w:rsidRPr="00C06601">
        <w:rPr>
          <w:rFonts w:ascii="Times New Roman" w:hAnsi="Times New Roman"/>
          <w:b/>
          <w:bCs/>
          <w:sz w:val="28"/>
          <w:szCs w:val="28"/>
          <w:lang w:val="bg-BG"/>
        </w:rPr>
        <w:tab/>
        <w:t>Причини, които налагат приемането на законопроекта</w:t>
      </w:r>
    </w:p>
    <w:p w14:paraId="16022BA2" w14:textId="0929429F"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Законопроектът за изменение и допълнение на Данъчно-осигурителния процесуален кодекс предлага въвеждането в българското законодателство на Директива (ЕС) 2023/2226 на Съвета от 17 октомври 2023 година за изменение на Директива 2011/16/ЕС относно административното сътрудничество в областта на данъчното облагане (Директива (ЕС) 2023/2226) и на Директива (ЕС) 2025/872 на Съвета от </w:t>
      </w:r>
      <w:r w:rsidR="00C06601">
        <w:rPr>
          <w:rFonts w:ascii="Times New Roman" w:hAnsi="Times New Roman"/>
          <w:sz w:val="28"/>
          <w:szCs w:val="28"/>
          <w:lang w:val="bg-BG"/>
        </w:rPr>
        <w:br/>
      </w:r>
      <w:r w:rsidRPr="002F675A">
        <w:rPr>
          <w:rFonts w:ascii="Times New Roman" w:hAnsi="Times New Roman"/>
          <w:sz w:val="28"/>
          <w:szCs w:val="28"/>
          <w:lang w:val="bg-BG"/>
        </w:rPr>
        <w:t>14 април 2025 година за изменение на Директива 2011/16/ЕС относно административното сътрудничество в областта на данъчното облагане (Директива (ЕС) 2025/872). По този начин Република България изпълнява ангажимента си като държава</w:t>
      </w:r>
      <w:r w:rsidR="00432DE5">
        <w:rPr>
          <w:rFonts w:ascii="Times New Roman" w:hAnsi="Times New Roman"/>
          <w:sz w:val="28"/>
          <w:szCs w:val="28"/>
          <w:lang w:val="bg-BG"/>
        </w:rPr>
        <w:t xml:space="preserve"> </w:t>
      </w:r>
      <w:r w:rsidR="00C06601">
        <w:rPr>
          <w:rFonts w:ascii="Times New Roman" w:hAnsi="Times New Roman"/>
          <w:sz w:val="28"/>
          <w:szCs w:val="28"/>
          <w:lang w:val="bg-BG"/>
        </w:rPr>
        <w:t>-</w:t>
      </w:r>
      <w:r w:rsidR="00432DE5">
        <w:rPr>
          <w:rFonts w:ascii="Times New Roman" w:hAnsi="Times New Roman"/>
          <w:sz w:val="28"/>
          <w:szCs w:val="28"/>
          <w:lang w:val="bg-BG"/>
        </w:rPr>
        <w:t xml:space="preserve"> </w:t>
      </w:r>
      <w:r w:rsidRPr="002F675A">
        <w:rPr>
          <w:rFonts w:ascii="Times New Roman" w:hAnsi="Times New Roman"/>
          <w:sz w:val="28"/>
          <w:szCs w:val="28"/>
          <w:lang w:val="bg-BG"/>
        </w:rPr>
        <w:t>членка на Европейския съюз</w:t>
      </w:r>
      <w:r w:rsidR="00C06601">
        <w:rPr>
          <w:rFonts w:ascii="Times New Roman" w:hAnsi="Times New Roman"/>
          <w:sz w:val="28"/>
          <w:szCs w:val="28"/>
          <w:lang w:val="bg-BG"/>
        </w:rPr>
        <w:t>,</w:t>
      </w:r>
      <w:r w:rsidRPr="002F675A">
        <w:rPr>
          <w:rFonts w:ascii="Times New Roman" w:hAnsi="Times New Roman"/>
          <w:sz w:val="28"/>
          <w:szCs w:val="28"/>
          <w:lang w:val="bg-BG"/>
        </w:rPr>
        <w:t xml:space="preserve"> да приеме мерки на национално ниво за постигане на целите на директивите на ЕС.</w:t>
      </w:r>
    </w:p>
    <w:p w14:paraId="6C50AF94" w14:textId="7172850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Основна цел на Директива (ЕС) 2023/2226 е противодействие на укриването на данъци и отклонението от данъчно облагане и усъвършенстване на правилата за прозрачност в данъчната област чрез подобряване на функционирането на административното сътрудничество между държавите членки. Повишаването на прозрачността в данъчната област и борбата срещу укриването на данъци и отклонението от данъчно облагане са сред политическите приоритети на Европейския съюз с оглед </w:t>
      </w:r>
      <w:r w:rsidR="00C06601">
        <w:rPr>
          <w:rFonts w:ascii="Times New Roman" w:hAnsi="Times New Roman"/>
          <w:sz w:val="28"/>
          <w:szCs w:val="28"/>
          <w:lang w:val="bg-BG"/>
        </w:rPr>
        <w:t xml:space="preserve">на </w:t>
      </w:r>
      <w:r w:rsidRPr="002F675A">
        <w:rPr>
          <w:rFonts w:ascii="Times New Roman" w:hAnsi="Times New Roman"/>
          <w:sz w:val="28"/>
          <w:szCs w:val="28"/>
          <w:lang w:val="bg-BG"/>
        </w:rPr>
        <w:t>създаването на по-единен и по-справедлив общ пазар.</w:t>
      </w:r>
    </w:p>
    <w:p w14:paraId="6E6CB6C6" w14:textId="47234804"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Въпреки значителните подобрения в областта на обмена на информация, регламентиран в Директива 2011/16/ЕС на Съвета от </w:t>
      </w:r>
      <w:r w:rsidR="001B049E">
        <w:rPr>
          <w:rFonts w:ascii="Times New Roman" w:hAnsi="Times New Roman"/>
          <w:sz w:val="28"/>
          <w:szCs w:val="28"/>
          <w:lang w:val="bg-BG"/>
        </w:rPr>
        <w:br/>
      </w:r>
      <w:r w:rsidRPr="002F675A">
        <w:rPr>
          <w:rFonts w:ascii="Times New Roman" w:hAnsi="Times New Roman"/>
          <w:sz w:val="28"/>
          <w:szCs w:val="28"/>
          <w:lang w:val="bg-BG"/>
        </w:rPr>
        <w:t xml:space="preserve">15 февруари 2011 г. относно административното сътрудничество в областта </w:t>
      </w:r>
      <w:r w:rsidRPr="002F675A">
        <w:rPr>
          <w:rFonts w:ascii="Times New Roman" w:hAnsi="Times New Roman"/>
          <w:sz w:val="28"/>
          <w:szCs w:val="28"/>
          <w:lang w:val="bg-BG"/>
        </w:rPr>
        <w:lastRenderedPageBreak/>
        <w:t xml:space="preserve">на данъчното облагане и последващите изменения в нея, практиката показва, че все още съществува необходимост от подобряване на съществуващите разпоредби, свързани с всички видове автоматичен обмен на информация. Областите, в които са констатирани слабости, са липсата на специални разпоредби, обхващащи електронните пари, цифровите валути на централните банки, </w:t>
      </w:r>
      <w:proofErr w:type="spellStart"/>
      <w:r w:rsidRPr="002F675A">
        <w:rPr>
          <w:rFonts w:ascii="Times New Roman" w:hAnsi="Times New Roman"/>
          <w:sz w:val="28"/>
          <w:szCs w:val="28"/>
          <w:lang w:val="bg-BG"/>
        </w:rPr>
        <w:t>криптоактивите</w:t>
      </w:r>
      <w:proofErr w:type="spellEnd"/>
      <w:r w:rsidRPr="002F675A">
        <w:rPr>
          <w:rFonts w:ascii="Times New Roman" w:hAnsi="Times New Roman"/>
          <w:sz w:val="28"/>
          <w:szCs w:val="28"/>
          <w:lang w:val="bg-BG"/>
        </w:rPr>
        <w:t>, трансграничните данъчни становища за лица с висока нетна стойност на активите и липсата на яснота относно мерките за ефективно прилагане на правилата.</w:t>
      </w:r>
    </w:p>
    <w:p w14:paraId="5BACCD6D" w14:textId="190CE063"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Отстраняването на съществуващите недостатъци в </w:t>
      </w:r>
      <w:r w:rsidR="00C06601" w:rsidRPr="002F675A">
        <w:rPr>
          <w:rFonts w:ascii="Times New Roman" w:hAnsi="Times New Roman"/>
          <w:sz w:val="28"/>
          <w:szCs w:val="28"/>
          <w:lang w:val="bg-BG"/>
        </w:rPr>
        <w:t>Д</w:t>
      </w:r>
      <w:r w:rsidRPr="002F675A">
        <w:rPr>
          <w:rFonts w:ascii="Times New Roman" w:hAnsi="Times New Roman"/>
          <w:sz w:val="28"/>
          <w:szCs w:val="28"/>
          <w:lang w:val="bg-BG"/>
        </w:rPr>
        <w:t>иректива</w:t>
      </w:r>
      <w:r w:rsidR="00C06601">
        <w:rPr>
          <w:rFonts w:ascii="Times New Roman" w:hAnsi="Times New Roman"/>
          <w:sz w:val="28"/>
          <w:szCs w:val="28"/>
          <w:lang w:val="bg-BG"/>
        </w:rPr>
        <w:t xml:space="preserve"> </w:t>
      </w:r>
      <w:r w:rsidR="00343833">
        <w:rPr>
          <w:rFonts w:ascii="Times New Roman" w:hAnsi="Times New Roman"/>
          <w:sz w:val="28"/>
          <w:szCs w:val="28"/>
          <w:lang w:val="bg-BG"/>
        </w:rPr>
        <w:t>(</w:t>
      </w:r>
      <w:r w:rsidR="00C06601">
        <w:rPr>
          <w:rFonts w:ascii="Times New Roman" w:hAnsi="Times New Roman"/>
          <w:sz w:val="28"/>
          <w:szCs w:val="28"/>
          <w:lang w:val="bg-BG"/>
        </w:rPr>
        <w:t>ЕС</w:t>
      </w:r>
      <w:r w:rsidR="00343833">
        <w:rPr>
          <w:rFonts w:ascii="Times New Roman" w:hAnsi="Times New Roman"/>
          <w:sz w:val="28"/>
          <w:szCs w:val="28"/>
          <w:lang w:val="bg-BG"/>
        </w:rPr>
        <w:t>)</w:t>
      </w:r>
      <w:r w:rsidR="00C06601">
        <w:rPr>
          <w:rFonts w:ascii="Times New Roman" w:hAnsi="Times New Roman"/>
          <w:sz w:val="28"/>
          <w:szCs w:val="28"/>
          <w:lang w:val="bg-BG"/>
        </w:rPr>
        <w:t xml:space="preserve"> 2023/2026</w:t>
      </w:r>
      <w:r w:rsidRPr="002F675A">
        <w:rPr>
          <w:rFonts w:ascii="Times New Roman" w:hAnsi="Times New Roman"/>
          <w:sz w:val="28"/>
          <w:szCs w:val="28"/>
          <w:lang w:val="bg-BG"/>
        </w:rPr>
        <w:t xml:space="preserve"> и прецизирането в тази връзка на националните законодателства на държавите членки по еднозначен начин ще гарантират правна сигурност и яснота на правилата в областта на административното сътрудничество и обмена на информация.</w:t>
      </w:r>
    </w:p>
    <w:p w14:paraId="0F51C669" w14:textId="2304068F"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През последните години значението на пазара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нарасна и той съществено и бързо увеличи капитализацията си. Появата на алтернативни средства за разплащане и инвестиции като </w:t>
      </w:r>
      <w:proofErr w:type="spellStart"/>
      <w:r w:rsidRPr="002F675A">
        <w:rPr>
          <w:rFonts w:ascii="Times New Roman" w:hAnsi="Times New Roman"/>
          <w:sz w:val="28"/>
          <w:szCs w:val="28"/>
          <w:lang w:val="bg-BG"/>
        </w:rPr>
        <w:t>криптоактивите</w:t>
      </w:r>
      <w:proofErr w:type="spellEnd"/>
      <w:r w:rsidRPr="002F675A">
        <w:rPr>
          <w:rFonts w:ascii="Times New Roman" w:hAnsi="Times New Roman"/>
          <w:sz w:val="28"/>
          <w:szCs w:val="28"/>
          <w:lang w:val="bg-BG"/>
        </w:rPr>
        <w:t xml:space="preserve"> създава значителни рискове за отклонение от данъчно облагане поради липсата на данъчна прозрачност. Това се дължи на обстоятелството, че криптовалутите не са включени понастоящем в обхвата на обмена на информация, като същевременно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не са задължени да предоставят информация за придобитите активи или печалби от своите клиенти пред данъчните органи. Това създава потенциален риск данъчно задължените лица да не декларират в пълен размер реализираните от тях доходи.</w:t>
      </w:r>
    </w:p>
    <w:p w14:paraId="4F356EA1" w14:textId="67627B25"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Създаването на единни правила за предоставянето на информация, приложими за всички държави членки, ще гарантира ефективното и последователното им прилагане, ще бъдат наложени едни и същи изисквания за предоставяне на информация от всички доставчици на </w:t>
      </w:r>
      <w:r w:rsidRPr="002F675A">
        <w:rPr>
          <w:rFonts w:ascii="Times New Roman" w:hAnsi="Times New Roman"/>
          <w:sz w:val="28"/>
          <w:szCs w:val="28"/>
          <w:lang w:val="bg-BG"/>
        </w:rPr>
        <w:lastRenderedPageBreak/>
        <w:t xml:space="preserve">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които попадат в обхвата на правилата, а обменът на предоставената информация ще позволи на данъчните администрации да получават пълен обем от информация относно притежанието и получените доходи от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Обменената информация между компетентните органи на държавите членки, съответно предоставената от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информация, ще подпомогне данъчните органи при установяването на дължимите данъци, особено в случаите, когато обменните сделки са с измерение извън една юрисдикция. Предоставяната и обменяна</w:t>
      </w:r>
      <w:r w:rsidR="00C06601">
        <w:rPr>
          <w:rFonts w:ascii="Times New Roman" w:hAnsi="Times New Roman"/>
          <w:sz w:val="28"/>
          <w:szCs w:val="28"/>
          <w:lang w:val="bg-BG"/>
        </w:rPr>
        <w:t>та</w:t>
      </w:r>
      <w:r w:rsidRPr="002F675A">
        <w:rPr>
          <w:rFonts w:ascii="Times New Roman" w:hAnsi="Times New Roman"/>
          <w:sz w:val="28"/>
          <w:szCs w:val="28"/>
          <w:lang w:val="bg-BG"/>
        </w:rPr>
        <w:t xml:space="preserve"> със съответните юрисдикции информация ще даде възможност на компетентните органи да установяват дължимите данъци въз основа на вярна и пълна информация. Прилагането на еднозначни правила за всички държави членки може в по-голяма степен да гарантира ефективността на системата за обмен на информация и административно сътрудничество в сравнение със самостоятелни инициативи на държавите членки.</w:t>
      </w:r>
    </w:p>
    <w:p w14:paraId="4FE1F113" w14:textId="481B254A"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С Директива (ЕС) 2025/872 се създават практическите правила за автоматичния обмен на данни от информационната декларация за допълнителния данък съгласно правилата на Директива (ЕС) 2022/2523 на Съвета от 15 декември 2022 г. за гарантиране на глобално минимално равнище на данъчно облагане на многонационалните групи предприятия и големите национални групи в ЕС, както и се въвежда единен формат на декларацията.</w:t>
      </w:r>
    </w:p>
    <w:p w14:paraId="29EA56E5" w14:textId="7E0B2F56"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Директива (ЕС) 2022/2523 е въведена в Закона за корпоративното подоходно облагане (ЗКПО) и има за цел да гарантира, че големите многонационални групи предприятия (МГП) плащат минимален ефективен размер на данъка върху печалбата във всяка юрисдикция, в която извършват дейност. Правното основание за подаване на информационната декларация и кръгът на задължените лица/образувания са регламентирани </w:t>
      </w:r>
      <w:r w:rsidRPr="002F675A">
        <w:rPr>
          <w:rFonts w:ascii="Times New Roman" w:hAnsi="Times New Roman"/>
          <w:sz w:val="28"/>
          <w:szCs w:val="28"/>
          <w:lang w:val="bg-BG"/>
        </w:rPr>
        <w:lastRenderedPageBreak/>
        <w:t xml:space="preserve">в </w:t>
      </w:r>
      <w:r w:rsidR="00C06601">
        <w:rPr>
          <w:rFonts w:ascii="Times New Roman" w:hAnsi="Times New Roman"/>
          <w:sz w:val="28"/>
          <w:szCs w:val="28"/>
          <w:lang w:val="bg-BG"/>
        </w:rPr>
        <w:t xml:space="preserve">чл. </w:t>
      </w:r>
      <w:r w:rsidRPr="002F675A">
        <w:rPr>
          <w:rFonts w:ascii="Times New Roman" w:hAnsi="Times New Roman"/>
          <w:sz w:val="28"/>
          <w:szCs w:val="28"/>
          <w:lang w:val="bg-BG"/>
        </w:rPr>
        <w:t>260я</w:t>
      </w:r>
      <w:r w:rsidRPr="00C06601">
        <w:rPr>
          <w:rFonts w:ascii="Times New Roman" w:hAnsi="Times New Roman"/>
          <w:sz w:val="28"/>
          <w:szCs w:val="28"/>
          <w:vertAlign w:val="superscript"/>
          <w:lang w:val="bg-BG"/>
        </w:rPr>
        <w:t>23</w:t>
      </w:r>
      <w:r w:rsidRPr="002F675A">
        <w:rPr>
          <w:rFonts w:ascii="Times New Roman" w:hAnsi="Times New Roman"/>
          <w:sz w:val="28"/>
          <w:szCs w:val="28"/>
          <w:lang w:val="bg-BG"/>
        </w:rPr>
        <w:t xml:space="preserve"> от ЗКПО. Информационната декларация се подава по електронен път по ред и във формат, утвърдени със заповед на изпълнителния директор на Националната агенция за приходите</w:t>
      </w:r>
      <w:r w:rsidR="002C0EBF">
        <w:rPr>
          <w:rFonts w:ascii="Times New Roman" w:hAnsi="Times New Roman"/>
          <w:sz w:val="28"/>
          <w:szCs w:val="28"/>
          <w:lang w:val="bg-BG"/>
        </w:rPr>
        <w:t xml:space="preserve"> (НАП)</w:t>
      </w:r>
      <w:r w:rsidRPr="002F675A">
        <w:rPr>
          <w:rFonts w:ascii="Times New Roman" w:hAnsi="Times New Roman"/>
          <w:sz w:val="28"/>
          <w:szCs w:val="28"/>
          <w:lang w:val="bg-BG"/>
        </w:rPr>
        <w:t xml:space="preserve">, която се публикува на интернет страницата на </w:t>
      </w:r>
      <w:r w:rsidR="002C0EBF">
        <w:rPr>
          <w:rFonts w:ascii="Times New Roman" w:hAnsi="Times New Roman"/>
          <w:sz w:val="28"/>
          <w:szCs w:val="28"/>
          <w:lang w:val="bg-BG"/>
        </w:rPr>
        <w:t>НАП</w:t>
      </w:r>
      <w:r w:rsidRPr="002F675A">
        <w:rPr>
          <w:rFonts w:ascii="Times New Roman" w:hAnsi="Times New Roman"/>
          <w:sz w:val="28"/>
          <w:szCs w:val="28"/>
          <w:lang w:val="bg-BG"/>
        </w:rPr>
        <w:t>. В ЗКПО са предвидени и категориите данни, които МГП следва да подадат пред НАП.</w:t>
      </w:r>
    </w:p>
    <w:p w14:paraId="1E1465BC" w14:textId="5A5164DB"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Правилата в Директива (ЕС) 2025/872 осигуряват функционираща, ясна и хармонизирана рамка по отношение на обмена на данни от информационната декларация за допълнителния данък между компетентните органи за целите на Директива (ЕС) 2022/2523.</w:t>
      </w:r>
    </w:p>
    <w:p w14:paraId="0F8FAF46"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Въвеждането на единни правила, приложими във всички държави членки, ще създаде правна сигурност и яснота за МГП и данъчните администрации. Този подход има няколко предимства: правната рамка за подаване и обмен на информация между компетентните органи ще бъде изцяло приведена в съответствие в държавите членки, което ще облекчи изискванията за деклариране за МГП; обменът на информация ще бъде подпомогнат от обща ИТ инфраструктура; единното прилагане на равнището на ЕС би дало на данъкоплатците правна сигурност по отношение на задълженията им за подаване на декларации и правилата за обмен на информация между компетентните органи.</w:t>
      </w:r>
    </w:p>
    <w:p w14:paraId="1643B8F8" w14:textId="42B8352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През 2024 г. в хода на техническата проверка в областта на облагането на многонационалните предприятия, осъществявана от Работна група 6 към Комитета по фискални въпроси на ОИСР, към България са отправени препоръки в процеса на разглеждане и одобряване на кандидатурата на страната за членство в </w:t>
      </w:r>
      <w:r w:rsidR="00C06601">
        <w:rPr>
          <w:rFonts w:ascii="Times New Roman" w:hAnsi="Times New Roman"/>
          <w:sz w:val="28"/>
          <w:szCs w:val="28"/>
          <w:lang w:val="bg-BG"/>
        </w:rPr>
        <w:t>О</w:t>
      </w:r>
      <w:r w:rsidRPr="002F675A">
        <w:rPr>
          <w:rFonts w:ascii="Times New Roman" w:hAnsi="Times New Roman"/>
          <w:sz w:val="28"/>
          <w:szCs w:val="28"/>
          <w:lang w:val="bg-BG"/>
        </w:rPr>
        <w:t xml:space="preserve">рганизацията. Препоръките имат за цел привеждане в по-голяма степен на националното законодателство в съответствие със стандартите на ОИСР по отношение на облагането на многонационалния бизнес и доближаване до най-добрите практики в тази област. На първо място, съгласно препоръките България следва да подобри </w:t>
      </w:r>
      <w:r w:rsidRPr="002F675A">
        <w:rPr>
          <w:rFonts w:ascii="Times New Roman" w:hAnsi="Times New Roman"/>
          <w:sz w:val="28"/>
          <w:szCs w:val="28"/>
          <w:lang w:val="bg-BG"/>
        </w:rPr>
        <w:lastRenderedPageBreak/>
        <w:t>правната рамка чрез привеждане на дефиницията за пазарна цена, предвидена в §</w:t>
      </w:r>
      <w:r w:rsidR="00C06601">
        <w:rPr>
          <w:rFonts w:ascii="Times New Roman" w:hAnsi="Times New Roman"/>
          <w:sz w:val="28"/>
          <w:szCs w:val="28"/>
          <w:lang w:val="bg-BG"/>
        </w:rPr>
        <w:t xml:space="preserve"> </w:t>
      </w:r>
      <w:r w:rsidRPr="002F675A">
        <w:rPr>
          <w:rFonts w:ascii="Times New Roman" w:hAnsi="Times New Roman"/>
          <w:sz w:val="28"/>
          <w:szCs w:val="28"/>
          <w:lang w:val="bg-BG"/>
        </w:rPr>
        <w:t xml:space="preserve">1, т. 8 от </w:t>
      </w:r>
      <w:r w:rsidR="00C06601" w:rsidRPr="002F675A">
        <w:rPr>
          <w:rFonts w:ascii="Times New Roman" w:hAnsi="Times New Roman"/>
          <w:sz w:val="28"/>
          <w:szCs w:val="28"/>
          <w:lang w:val="bg-BG"/>
        </w:rPr>
        <w:t>Д</w:t>
      </w:r>
      <w:r w:rsidRPr="002F675A">
        <w:rPr>
          <w:rFonts w:ascii="Times New Roman" w:hAnsi="Times New Roman"/>
          <w:sz w:val="28"/>
          <w:szCs w:val="28"/>
          <w:lang w:val="bg-BG"/>
        </w:rPr>
        <w:t>опълнителните разпоредби на ДОПК, в съответствие с Ръководството по трансферно ценообразуване за мултинационални предприятия и данъчни администрации на ОИСР (Ръководството на ОИСР), както и с разпоредбата на чл. 71а, ал. 1 от ДОПК, въведена през 2019 г. в изпълнение на препоръките по Мярка 13 „Документация за трансферно ценообразуване и отчети по държави“ от Плана BEPS (</w:t>
      </w:r>
      <w:proofErr w:type="spellStart"/>
      <w:r w:rsidRPr="002F675A">
        <w:rPr>
          <w:rFonts w:ascii="Times New Roman" w:hAnsi="Times New Roman"/>
          <w:sz w:val="28"/>
          <w:szCs w:val="28"/>
          <w:lang w:val="bg-BG"/>
        </w:rPr>
        <w:t>Base</w:t>
      </w:r>
      <w:proofErr w:type="spellEnd"/>
      <w:r w:rsidRPr="002F675A">
        <w:rPr>
          <w:rFonts w:ascii="Times New Roman" w:hAnsi="Times New Roman"/>
          <w:sz w:val="28"/>
          <w:szCs w:val="28"/>
          <w:lang w:val="bg-BG"/>
        </w:rPr>
        <w:t xml:space="preserve"> </w:t>
      </w:r>
      <w:proofErr w:type="spellStart"/>
      <w:r w:rsidRPr="002F675A">
        <w:rPr>
          <w:rFonts w:ascii="Times New Roman" w:hAnsi="Times New Roman"/>
          <w:sz w:val="28"/>
          <w:szCs w:val="28"/>
          <w:lang w:val="bg-BG"/>
        </w:rPr>
        <w:t>Erosion</w:t>
      </w:r>
      <w:proofErr w:type="spellEnd"/>
      <w:r w:rsidRPr="002F675A">
        <w:rPr>
          <w:rFonts w:ascii="Times New Roman" w:hAnsi="Times New Roman"/>
          <w:sz w:val="28"/>
          <w:szCs w:val="28"/>
          <w:lang w:val="bg-BG"/>
        </w:rPr>
        <w:t xml:space="preserve"> </w:t>
      </w:r>
      <w:proofErr w:type="spellStart"/>
      <w:r w:rsidRPr="002F675A">
        <w:rPr>
          <w:rFonts w:ascii="Times New Roman" w:hAnsi="Times New Roman"/>
          <w:sz w:val="28"/>
          <w:szCs w:val="28"/>
          <w:lang w:val="bg-BG"/>
        </w:rPr>
        <w:t>and</w:t>
      </w:r>
      <w:proofErr w:type="spellEnd"/>
      <w:r w:rsidRPr="002F675A">
        <w:rPr>
          <w:rFonts w:ascii="Times New Roman" w:hAnsi="Times New Roman"/>
          <w:sz w:val="28"/>
          <w:szCs w:val="28"/>
          <w:lang w:val="bg-BG"/>
        </w:rPr>
        <w:t xml:space="preserve"> </w:t>
      </w:r>
      <w:proofErr w:type="spellStart"/>
      <w:r w:rsidRPr="002F675A">
        <w:rPr>
          <w:rFonts w:ascii="Times New Roman" w:hAnsi="Times New Roman"/>
          <w:sz w:val="28"/>
          <w:szCs w:val="28"/>
          <w:lang w:val="bg-BG"/>
        </w:rPr>
        <w:t>Profit</w:t>
      </w:r>
      <w:proofErr w:type="spellEnd"/>
      <w:r w:rsidRPr="002F675A">
        <w:rPr>
          <w:rFonts w:ascii="Times New Roman" w:hAnsi="Times New Roman"/>
          <w:sz w:val="28"/>
          <w:szCs w:val="28"/>
          <w:lang w:val="bg-BG"/>
        </w:rPr>
        <w:t xml:space="preserve"> </w:t>
      </w:r>
      <w:proofErr w:type="spellStart"/>
      <w:r w:rsidRPr="002F675A">
        <w:rPr>
          <w:rFonts w:ascii="Times New Roman" w:hAnsi="Times New Roman"/>
          <w:sz w:val="28"/>
          <w:szCs w:val="28"/>
          <w:lang w:val="bg-BG"/>
        </w:rPr>
        <w:t>Shifting</w:t>
      </w:r>
      <w:proofErr w:type="spellEnd"/>
      <w:r w:rsidRPr="002F675A">
        <w:rPr>
          <w:rFonts w:ascii="Times New Roman" w:hAnsi="Times New Roman"/>
          <w:sz w:val="28"/>
          <w:szCs w:val="28"/>
          <w:lang w:val="bg-BG"/>
        </w:rPr>
        <w:t>) относно прилагане на мерки срещу свиването на данъчната основа и прехвърлянето на печалби на ОИСР/Г20 от 2013 г.</w:t>
      </w:r>
    </w:p>
    <w:p w14:paraId="3F1BBFD6" w14:textId="0FB13DD9"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На второ място, по препоръка на ОИСР България следва да отстрани празнота в нормативната уредба чрез предвиждане на възможност данъчно задължено лице да използва метод за определяне на пазарните цени, който не е изрично предвиден в ДОПК до този момент, когато това става по ред и начин, съобразени с насоките, съдържащи се в Ръководството на ОИСР, и по-специално в §</w:t>
      </w:r>
      <w:r w:rsidR="001B049E">
        <w:rPr>
          <w:rFonts w:ascii="Times New Roman" w:hAnsi="Times New Roman"/>
          <w:sz w:val="28"/>
          <w:szCs w:val="28"/>
          <w:lang w:val="bg-BG"/>
        </w:rPr>
        <w:t xml:space="preserve"> </w:t>
      </w:r>
      <w:r w:rsidRPr="002F675A">
        <w:rPr>
          <w:rFonts w:ascii="Times New Roman" w:hAnsi="Times New Roman"/>
          <w:sz w:val="28"/>
          <w:szCs w:val="28"/>
          <w:lang w:val="bg-BG"/>
        </w:rPr>
        <w:t>2.9 от него.</w:t>
      </w:r>
    </w:p>
    <w:p w14:paraId="2D3F9187" w14:textId="016E9FD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Правилата на Директива (ЕС) 2023/2226 и на Директива </w:t>
      </w:r>
      <w:r w:rsidR="002C0EBF">
        <w:rPr>
          <w:rFonts w:ascii="Times New Roman" w:hAnsi="Times New Roman"/>
          <w:sz w:val="28"/>
          <w:szCs w:val="28"/>
          <w:lang w:val="bg-BG"/>
        </w:rPr>
        <w:br/>
      </w:r>
      <w:r w:rsidRPr="002F675A">
        <w:rPr>
          <w:rFonts w:ascii="Times New Roman" w:hAnsi="Times New Roman"/>
          <w:sz w:val="28"/>
          <w:szCs w:val="28"/>
          <w:lang w:val="bg-BG"/>
        </w:rPr>
        <w:t xml:space="preserve">(ЕС) 2025/872 следваше да бъдат въведени в националното законодателство до 31 декември 2025 г. На 30 януари 2026 г. Европейската комисия изпрати официално уведомително писмо за образуване на процедури за нарушение № 2026/0018 и № 2026/0021 за </w:t>
      </w:r>
      <w:proofErr w:type="spellStart"/>
      <w:r w:rsidRPr="002F675A">
        <w:rPr>
          <w:rFonts w:ascii="Times New Roman" w:hAnsi="Times New Roman"/>
          <w:sz w:val="28"/>
          <w:szCs w:val="28"/>
          <w:lang w:val="bg-BG"/>
        </w:rPr>
        <w:t>неуведомяване</w:t>
      </w:r>
      <w:proofErr w:type="spellEnd"/>
      <w:r w:rsidRPr="002F675A">
        <w:rPr>
          <w:rFonts w:ascii="Times New Roman" w:hAnsi="Times New Roman"/>
          <w:sz w:val="28"/>
          <w:szCs w:val="28"/>
          <w:lang w:val="bg-BG"/>
        </w:rPr>
        <w:t xml:space="preserve"> в срок за транспонирането на Директива (ЕС) 2023/2226 и </w:t>
      </w:r>
      <w:r w:rsidR="00C06601">
        <w:rPr>
          <w:rFonts w:ascii="Times New Roman" w:hAnsi="Times New Roman"/>
          <w:sz w:val="28"/>
          <w:szCs w:val="28"/>
          <w:lang w:val="bg-BG"/>
        </w:rPr>
        <w:t xml:space="preserve">на </w:t>
      </w:r>
      <w:r w:rsidRPr="002F675A">
        <w:rPr>
          <w:rFonts w:ascii="Times New Roman" w:hAnsi="Times New Roman"/>
          <w:sz w:val="28"/>
          <w:szCs w:val="28"/>
          <w:lang w:val="bg-BG"/>
        </w:rPr>
        <w:t>Директива (ЕС) 2025/872.</w:t>
      </w:r>
    </w:p>
    <w:p w14:paraId="03548A73" w14:textId="77777777" w:rsidR="002F675A" w:rsidRPr="00C06601" w:rsidRDefault="002F675A" w:rsidP="002F675A">
      <w:pPr>
        <w:spacing w:before="120" w:line="360" w:lineRule="auto"/>
        <w:ind w:firstLine="1134"/>
        <w:jc w:val="both"/>
        <w:rPr>
          <w:rFonts w:ascii="Times New Roman" w:hAnsi="Times New Roman"/>
          <w:b/>
          <w:bCs/>
          <w:sz w:val="28"/>
          <w:szCs w:val="28"/>
          <w:lang w:val="bg-BG"/>
        </w:rPr>
      </w:pPr>
      <w:r w:rsidRPr="00C06601">
        <w:rPr>
          <w:rFonts w:ascii="Times New Roman" w:hAnsi="Times New Roman"/>
          <w:b/>
          <w:bCs/>
          <w:sz w:val="28"/>
          <w:szCs w:val="28"/>
          <w:lang w:val="bg-BG"/>
        </w:rPr>
        <w:t>2.</w:t>
      </w:r>
      <w:r w:rsidRPr="00C06601">
        <w:rPr>
          <w:rFonts w:ascii="Times New Roman" w:hAnsi="Times New Roman"/>
          <w:b/>
          <w:bCs/>
          <w:sz w:val="28"/>
          <w:szCs w:val="28"/>
          <w:lang w:val="bg-BG"/>
        </w:rPr>
        <w:tab/>
        <w:t>Целите, които се поставят със законопроекта</w:t>
      </w:r>
    </w:p>
    <w:p w14:paraId="5D50135A"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Привеждане на националното законодателство в съответствие с правото на Европейския съюз.</w:t>
      </w:r>
    </w:p>
    <w:p w14:paraId="640338AA" w14:textId="21C74C90"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Повишаване на данъчната прозрачност по отношение на </w:t>
      </w:r>
      <w:proofErr w:type="spellStart"/>
      <w:r w:rsidRPr="002F675A">
        <w:rPr>
          <w:rFonts w:ascii="Times New Roman" w:hAnsi="Times New Roman"/>
          <w:sz w:val="28"/>
          <w:szCs w:val="28"/>
          <w:lang w:val="bg-BG"/>
        </w:rPr>
        <w:t>криптоактивите</w:t>
      </w:r>
      <w:proofErr w:type="spellEnd"/>
      <w:r w:rsidRPr="002F675A">
        <w:rPr>
          <w:rFonts w:ascii="Times New Roman" w:hAnsi="Times New Roman"/>
          <w:sz w:val="28"/>
          <w:szCs w:val="28"/>
          <w:lang w:val="bg-BG"/>
        </w:rPr>
        <w:t xml:space="preserve"> и електронните пари и подобряване на административното </w:t>
      </w:r>
      <w:r w:rsidRPr="002F675A">
        <w:rPr>
          <w:rFonts w:ascii="Times New Roman" w:hAnsi="Times New Roman"/>
          <w:sz w:val="28"/>
          <w:szCs w:val="28"/>
          <w:lang w:val="bg-BG"/>
        </w:rPr>
        <w:lastRenderedPageBreak/>
        <w:t>сътрудничество чрез обмен на получената информация между компетентните органи.</w:t>
      </w:r>
    </w:p>
    <w:p w14:paraId="6AA1C1D9" w14:textId="75D0F744"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Предотвратяване на отклонението от данъчно облагане и укриването на данъци чрез използването на механизми за обмен на информация за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които извършват обменни сделки, както и на данни от информационната декларация по чл. 260я</w:t>
      </w:r>
      <w:r w:rsidRPr="00C06601">
        <w:rPr>
          <w:rFonts w:ascii="Times New Roman" w:hAnsi="Times New Roman"/>
          <w:sz w:val="28"/>
          <w:szCs w:val="28"/>
          <w:vertAlign w:val="superscript"/>
          <w:lang w:val="bg-BG"/>
        </w:rPr>
        <w:t>23</w:t>
      </w:r>
      <w:r w:rsidRPr="002F675A">
        <w:rPr>
          <w:rFonts w:ascii="Times New Roman" w:hAnsi="Times New Roman"/>
          <w:sz w:val="28"/>
          <w:szCs w:val="28"/>
          <w:lang w:val="bg-BG"/>
        </w:rPr>
        <w:t xml:space="preserve">, </w:t>
      </w:r>
      <w:r w:rsidR="00C06601">
        <w:rPr>
          <w:rFonts w:ascii="Times New Roman" w:hAnsi="Times New Roman"/>
          <w:sz w:val="28"/>
          <w:szCs w:val="28"/>
          <w:lang w:val="bg-BG"/>
        </w:rPr>
        <w:br/>
      </w:r>
      <w:r w:rsidRPr="002F675A">
        <w:rPr>
          <w:rFonts w:ascii="Times New Roman" w:hAnsi="Times New Roman"/>
          <w:sz w:val="28"/>
          <w:szCs w:val="28"/>
          <w:lang w:val="bg-BG"/>
        </w:rPr>
        <w:t>ал. 6 от ЗКПО.</w:t>
      </w:r>
    </w:p>
    <w:p w14:paraId="5A9697D8"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Повишаване на фискалната дисциплина, насърчаване на лицата към доброволно спазване на данъчното законодателство и въздържане от укриване на данъци и отклонение от данъчно облагане.</w:t>
      </w:r>
    </w:p>
    <w:p w14:paraId="5E4C1687"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Изпълнение на изискванията за членство в ОИСР чрез постигане на съответствие с препоръките на Работна група 6 към Комитета по фискални въпроси.</w:t>
      </w:r>
    </w:p>
    <w:p w14:paraId="280929D0"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Повишаване на правната сигурност и улесняване на доброволното спазване на правилата за трансферно ценообразуване при сделки с трансграничен характер.</w:t>
      </w:r>
    </w:p>
    <w:p w14:paraId="48ADCCDD" w14:textId="77777777" w:rsidR="002F675A" w:rsidRPr="00C06601" w:rsidRDefault="002F675A" w:rsidP="002F675A">
      <w:pPr>
        <w:spacing w:before="120" w:line="360" w:lineRule="auto"/>
        <w:ind w:firstLine="1134"/>
        <w:jc w:val="both"/>
        <w:rPr>
          <w:rFonts w:ascii="Times New Roman" w:hAnsi="Times New Roman"/>
          <w:b/>
          <w:bCs/>
          <w:sz w:val="28"/>
          <w:szCs w:val="28"/>
          <w:lang w:val="bg-BG"/>
        </w:rPr>
      </w:pPr>
      <w:r w:rsidRPr="00C06601">
        <w:rPr>
          <w:rFonts w:ascii="Times New Roman" w:hAnsi="Times New Roman"/>
          <w:b/>
          <w:bCs/>
          <w:sz w:val="28"/>
          <w:szCs w:val="28"/>
          <w:lang w:val="bg-BG"/>
        </w:rPr>
        <w:t>3.</w:t>
      </w:r>
      <w:r w:rsidRPr="00C06601">
        <w:rPr>
          <w:rFonts w:ascii="Times New Roman" w:hAnsi="Times New Roman"/>
          <w:b/>
          <w:bCs/>
          <w:sz w:val="28"/>
          <w:szCs w:val="28"/>
          <w:lang w:val="bg-BG"/>
        </w:rPr>
        <w:tab/>
        <w:t>Същност на предложените промени</w:t>
      </w:r>
    </w:p>
    <w:p w14:paraId="4E990810" w14:textId="1D9E6EA6"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В съответствие с изискванията на Директива (ЕС) 2023/2226 и </w:t>
      </w:r>
      <w:r w:rsidR="00C06601">
        <w:rPr>
          <w:rFonts w:ascii="Times New Roman" w:hAnsi="Times New Roman"/>
          <w:sz w:val="28"/>
          <w:szCs w:val="28"/>
          <w:lang w:val="bg-BG"/>
        </w:rPr>
        <w:t xml:space="preserve">на </w:t>
      </w:r>
      <w:r w:rsidRPr="002F675A">
        <w:rPr>
          <w:rFonts w:ascii="Times New Roman" w:hAnsi="Times New Roman"/>
          <w:sz w:val="28"/>
          <w:szCs w:val="28"/>
          <w:lang w:val="bg-BG"/>
        </w:rPr>
        <w:t xml:space="preserve">Директива (ЕС) 2025/872 със </w:t>
      </w:r>
      <w:r w:rsidR="00C06601" w:rsidRPr="002F675A">
        <w:rPr>
          <w:rFonts w:ascii="Times New Roman" w:hAnsi="Times New Roman"/>
          <w:sz w:val="28"/>
          <w:szCs w:val="28"/>
          <w:lang w:val="bg-BG"/>
        </w:rPr>
        <w:t>З</w:t>
      </w:r>
      <w:r w:rsidRPr="002F675A">
        <w:rPr>
          <w:rFonts w:ascii="Times New Roman" w:hAnsi="Times New Roman"/>
          <w:sz w:val="28"/>
          <w:szCs w:val="28"/>
          <w:lang w:val="bg-BG"/>
        </w:rPr>
        <w:t xml:space="preserve">аконопроекта за изменение и допълнение на ДОПК се подобрява цялостната уредба на обмена на информация и административното сътрудничество и се разширява обхватът на автоматичния обмен на информация, като се включва и информацията, предоставяна от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дружествата за електронни пари, както и данни от информационната декларация по </w:t>
      </w:r>
      <w:r w:rsidR="001B049E">
        <w:rPr>
          <w:rFonts w:ascii="Times New Roman" w:hAnsi="Times New Roman"/>
          <w:sz w:val="28"/>
          <w:szCs w:val="28"/>
          <w:lang w:val="bg-BG"/>
        </w:rPr>
        <w:br/>
      </w:r>
      <w:r w:rsidRPr="002F675A">
        <w:rPr>
          <w:rFonts w:ascii="Times New Roman" w:hAnsi="Times New Roman"/>
          <w:sz w:val="28"/>
          <w:szCs w:val="28"/>
          <w:lang w:val="bg-BG"/>
        </w:rPr>
        <w:t>чл. 260я</w:t>
      </w:r>
      <w:r w:rsidRPr="00C06601">
        <w:rPr>
          <w:rFonts w:ascii="Times New Roman" w:hAnsi="Times New Roman"/>
          <w:sz w:val="28"/>
          <w:szCs w:val="28"/>
          <w:vertAlign w:val="superscript"/>
          <w:lang w:val="bg-BG"/>
        </w:rPr>
        <w:t>23</w:t>
      </w:r>
      <w:r w:rsidRPr="002F675A">
        <w:rPr>
          <w:rFonts w:ascii="Times New Roman" w:hAnsi="Times New Roman"/>
          <w:sz w:val="28"/>
          <w:szCs w:val="28"/>
          <w:lang w:val="bg-BG"/>
        </w:rPr>
        <w:t>, ал. 6 от ЗКПО. Законопроектът също така съдържа предложения в изпълнение на препоръките на Работна група 6 към Комитета по фискални въпроси на ОИСР.</w:t>
      </w:r>
    </w:p>
    <w:p w14:paraId="5FD72D1F" w14:textId="10038072"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lastRenderedPageBreak/>
        <w:t>•</w:t>
      </w:r>
      <w:r w:rsidRPr="002F675A">
        <w:rPr>
          <w:rFonts w:ascii="Times New Roman" w:hAnsi="Times New Roman"/>
          <w:sz w:val="28"/>
          <w:szCs w:val="28"/>
          <w:lang w:val="bg-BG"/>
        </w:rPr>
        <w:tab/>
        <w:t xml:space="preserve">Обхватът на автоматичния обмен на информация в ДОПК се разширява, като се включва и информация, предоставяна от предоставящи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за ползватели, които сключват обменни сделки с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w:t>
      </w:r>
    </w:p>
    <w:p w14:paraId="5CEAD9E6" w14:textId="67CA653C"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За да бъде обменена между компетентните органи на държавите членки, информацията следва да бъде предоставена от предоставящ информация доставчик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Информацията се отнася за ползватели, които извършват обменни сделки с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които са местни лица на Република България или </w:t>
      </w:r>
      <w:r w:rsidR="00C06601">
        <w:rPr>
          <w:rFonts w:ascii="Times New Roman" w:hAnsi="Times New Roman"/>
          <w:sz w:val="28"/>
          <w:szCs w:val="28"/>
          <w:lang w:val="bg-BG"/>
        </w:rPr>
        <w:t xml:space="preserve">на </w:t>
      </w:r>
      <w:r w:rsidRPr="002F675A">
        <w:rPr>
          <w:rFonts w:ascii="Times New Roman" w:hAnsi="Times New Roman"/>
          <w:sz w:val="28"/>
          <w:szCs w:val="28"/>
          <w:lang w:val="bg-BG"/>
        </w:rPr>
        <w:t>друга държава членка.</w:t>
      </w:r>
    </w:p>
    <w:p w14:paraId="38B62C04" w14:textId="2D85A0F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Пред изпълнителния директор на </w:t>
      </w:r>
      <w:r w:rsidR="00CC4133">
        <w:rPr>
          <w:rFonts w:ascii="Times New Roman" w:hAnsi="Times New Roman"/>
          <w:sz w:val="28"/>
          <w:szCs w:val="28"/>
          <w:lang w:val="bg-BG"/>
        </w:rPr>
        <w:t>НАП</w:t>
      </w:r>
      <w:r w:rsidRPr="002F675A">
        <w:rPr>
          <w:rFonts w:ascii="Times New Roman" w:hAnsi="Times New Roman"/>
          <w:sz w:val="28"/>
          <w:szCs w:val="28"/>
          <w:lang w:val="bg-BG"/>
        </w:rPr>
        <w:t xml:space="preserve">, който е компетентен орган за Република България, информация следва да подава доставчик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за ко</w:t>
      </w:r>
      <w:r w:rsidR="00C06601">
        <w:rPr>
          <w:rFonts w:ascii="Times New Roman" w:hAnsi="Times New Roman"/>
          <w:sz w:val="28"/>
          <w:szCs w:val="28"/>
          <w:lang w:val="bg-BG"/>
        </w:rPr>
        <w:t>го</w:t>
      </w:r>
      <w:r w:rsidRPr="002F675A">
        <w:rPr>
          <w:rFonts w:ascii="Times New Roman" w:hAnsi="Times New Roman"/>
          <w:sz w:val="28"/>
          <w:szCs w:val="28"/>
          <w:lang w:val="bg-BG"/>
        </w:rPr>
        <w:t xml:space="preserve">то е издаден лиценз или потвърждение за предоставяне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от Комисията за финансов надзор (КФН) съгласно чл. 14, ал. 2 и 3 от Закона за пазарите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съответно има лиценз от Българската народна банка (БНБ) съгласно чл. 2, ал. 2, т. 19 от Закона за кредитните институции. Задължение да подава информация има и оператор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който не попада в обхвата на Регламент (ЕС) 2023/1114 на Европейския парламент и на Съвета от 31 май 2023 година относно пазарите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за изменение на регламенти (ЕС) № 1093/2010 и (ЕС) № 1095/2010 и на директиви 2013/36/ЕС и (ЕС) 2019/1937, съответно за него не е възникнало задължение за лицензиране от КФН или БНБ, но извършва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които са в обхвата на законопроекта, по отношение на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установени в ЕС. Въвеждането на тази категория лица, които ще предоставят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без да са лицензирани от КФН или БНБ, е свързано с по-широкия обхват на глобалния стандарт за автоматичен обмен на информация по данъчни въпроси на ОИСР съгласно Рамката за предоставяне на информация за </w:t>
      </w:r>
      <w:proofErr w:type="spellStart"/>
      <w:r w:rsidRPr="002F675A">
        <w:rPr>
          <w:rFonts w:ascii="Times New Roman" w:hAnsi="Times New Roman"/>
          <w:sz w:val="28"/>
          <w:szCs w:val="28"/>
          <w:lang w:val="bg-BG"/>
        </w:rPr>
        <w:lastRenderedPageBreak/>
        <w:t>криптоактиви</w:t>
      </w:r>
      <w:proofErr w:type="spellEnd"/>
      <w:r w:rsidRPr="002F675A">
        <w:rPr>
          <w:rFonts w:ascii="Times New Roman" w:hAnsi="Times New Roman"/>
          <w:sz w:val="28"/>
          <w:szCs w:val="28"/>
          <w:lang w:val="bg-BG"/>
        </w:rPr>
        <w:t xml:space="preserve"> (CARF) по отношение на задължените лица и услугите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в сравнение със същото понятие, предвидено в Регламент (ЕС) 2023/1114. Също така в тази категория попадат чуждестранни оператори от трети юрисдикции, които имат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които са местни лица на ЕС. Поради това въвеждането на тази категория лица е от значение само за целите на обмена на информация и не засяга изпълнението на задълженията на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съгласно Регламент (ЕС) 2023/1114.</w:t>
      </w:r>
    </w:p>
    <w:p w14:paraId="3FC358AA"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Операторите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следва да се регистрират и да предоставят информация в една държава членка, за да изпълнят задълженията си за предоставяне на информация. Когато оператор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е местно лице на България или е учреден съгласно българското законодателство, или има място на управление в страната, или обичайно извършва дейност в страната, или действа чрез клон, той следва да се регистрира в България пред изпълнителния директор на НАП и се третира като предоставящ информация доставчик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за целите на обмена на информация съгласно българския закон. Когато отговаря на посочените условия и в друга държава членка, операторът избира държавата, в която се регистрира.</w:t>
      </w:r>
    </w:p>
    <w:p w14:paraId="442D48F9" w14:textId="375F978E"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С цел да се насърчи административното сътрудничество с юрисдикции извън ЕС и да се избегне многократното предоставяне на информация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които се намират в юрисдикции извън Европейския съюз и предоставят услуги на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в ЕС, могат да предоставят информация за тези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на данъчните органи на юрисдикцията, където са установени, когато предоставяната информация съответства на информацията, изисквана в съответствие с директивата, и доколкото </w:t>
      </w:r>
      <w:r w:rsidRPr="002F675A">
        <w:rPr>
          <w:rFonts w:ascii="Times New Roman" w:hAnsi="Times New Roman"/>
          <w:sz w:val="28"/>
          <w:szCs w:val="28"/>
          <w:lang w:val="bg-BG"/>
        </w:rPr>
        <w:lastRenderedPageBreak/>
        <w:t>съществува ефективен обмен на информация между тази юрисдикция извън ЕС и държавите членки.</w:t>
      </w:r>
    </w:p>
    <w:p w14:paraId="185562C8"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Със законопроекта се определят процедурите за комплексна проверка, които трябва да прилагат предоставящите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за да идентифицират своите клиенти,  изискванията за предоставяне на информация, както и правилата за ефективно прилагане.</w:t>
      </w:r>
    </w:p>
    <w:p w14:paraId="1EBB62D5"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Законопроектът предвижда конкретните данни, които предоставящият информация доставчик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трябва да събере за ползвател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за когото се предоставя информация – за самоличността на ползвателя, адрес, държавата членка, на която е местно лице, данъчен идентификационен номер, данни за обменните сделки с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др. Доставчикът трябва да получи декларация, въз основа на която да определи държавата или юрисдикцията, в която ползвателят е местно лице за данъчни цели, както и да потвърди достоверността на тази декларация въз основа на информацията, получена от него, включително всякакви документи, събрани в съответствие с процедурите за комплексна проверка на клиента. По отношение на ползвателите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които са образувание, в допълнение към получаването на декларация трябва да се извърши проверка и кои са контролиращите ги лица, както и дали те са лица, за които се предоставя информация. При промяна в обстоятелствата по отношение на ползвател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поради която доставчик узнае или има причина да знае, че първоначалната декларация е невярна или ненадеждна, той не може да използва първоначалната декларация и трябва да получи валидна декларация или обяснения и документи, обосноваващи валидността на първоначалната декларация.</w:t>
      </w:r>
    </w:p>
    <w:p w14:paraId="15CB467F"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lastRenderedPageBreak/>
        <w:t xml:space="preserve">Предоставящите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следва да предоставят предвидената в закона информация на изпълнителния директор на Националната агенция за приходите в срок до 30 юни на годината, следваща календарната година, за която се предоставя информация. Информацията се обменя с компетентния орган на държавата членка, в която ползвателите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са местни лица за данъчни цели, в срок до 9 месеца след края на календарната година, за която се предоставя информация, като се използва стандартизиран формат. Автоматичният обмен на информация ще се извършва по електронен път посредством общата комуникационна мрежа на Европейския съюз (CCN).</w:t>
      </w:r>
    </w:p>
    <w:p w14:paraId="325C23B2" w14:textId="62078E59"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Със законопроекта се предлагат също правила за ефективно прилагане и контрол с цел да се гарантира изпълнението на задълженията за предоставяне на информация и извършване на процедурите за комплексна проверка от страна на предоставящите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както и специални правила за контрола на дейността на операторите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регистрирани в Република България или </w:t>
      </w:r>
      <w:r w:rsidR="00E37F41">
        <w:rPr>
          <w:rFonts w:ascii="Times New Roman" w:hAnsi="Times New Roman"/>
          <w:sz w:val="28"/>
          <w:szCs w:val="28"/>
          <w:lang w:val="bg-BG"/>
        </w:rPr>
        <w:t xml:space="preserve">в </w:t>
      </w:r>
      <w:r w:rsidRPr="002F675A">
        <w:rPr>
          <w:rFonts w:ascii="Times New Roman" w:hAnsi="Times New Roman"/>
          <w:sz w:val="28"/>
          <w:szCs w:val="28"/>
          <w:lang w:val="bg-BG"/>
        </w:rPr>
        <w:t xml:space="preserve">друга държава членка, които имат задължение да предоставят информация за ползватели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В съответствие с </w:t>
      </w:r>
      <w:r w:rsidR="00E37F41" w:rsidRPr="002F675A">
        <w:rPr>
          <w:rFonts w:ascii="Times New Roman" w:hAnsi="Times New Roman"/>
          <w:sz w:val="28"/>
          <w:szCs w:val="28"/>
          <w:lang w:val="bg-BG"/>
        </w:rPr>
        <w:t>Д</w:t>
      </w:r>
      <w:r w:rsidRPr="002F675A">
        <w:rPr>
          <w:rFonts w:ascii="Times New Roman" w:hAnsi="Times New Roman"/>
          <w:sz w:val="28"/>
          <w:szCs w:val="28"/>
          <w:lang w:val="bg-BG"/>
        </w:rPr>
        <w:t>иректива</w:t>
      </w:r>
      <w:r w:rsidR="00E37F41">
        <w:rPr>
          <w:rFonts w:ascii="Times New Roman" w:hAnsi="Times New Roman"/>
          <w:sz w:val="28"/>
          <w:szCs w:val="28"/>
          <w:lang w:val="bg-BG"/>
        </w:rPr>
        <w:t xml:space="preserve"> (ЕС) 2023/2026</w:t>
      </w:r>
      <w:r w:rsidRPr="002F675A">
        <w:rPr>
          <w:rFonts w:ascii="Times New Roman" w:hAnsi="Times New Roman"/>
          <w:sz w:val="28"/>
          <w:szCs w:val="28"/>
          <w:lang w:val="bg-BG"/>
        </w:rPr>
        <w:t xml:space="preserve"> и аналогично на правилата за обмена на информация, предоставяна от оператори на цифрови платформи, регламентирани в ДОПК, законопроектът предлага по искане на компетентния орган председателят на Софийския районен съд или оправомощен от него заместник-председател да постанови блокиране на достъпа до съответната интернет страница или </w:t>
      </w:r>
      <w:r w:rsidR="00E37F41">
        <w:rPr>
          <w:rFonts w:ascii="Times New Roman" w:hAnsi="Times New Roman"/>
          <w:sz w:val="28"/>
          <w:szCs w:val="28"/>
          <w:lang w:val="bg-BG"/>
        </w:rPr>
        <w:t xml:space="preserve">до </w:t>
      </w:r>
      <w:r w:rsidRPr="002F675A">
        <w:rPr>
          <w:rFonts w:ascii="Times New Roman" w:hAnsi="Times New Roman"/>
          <w:sz w:val="28"/>
          <w:szCs w:val="28"/>
          <w:lang w:val="bg-BG"/>
        </w:rPr>
        <w:t xml:space="preserve">приложение </w:t>
      </w:r>
      <w:r w:rsidR="00E37F41">
        <w:rPr>
          <w:rFonts w:ascii="Times New Roman" w:hAnsi="Times New Roman"/>
          <w:sz w:val="28"/>
          <w:szCs w:val="28"/>
          <w:lang w:val="bg-BG"/>
        </w:rPr>
        <w:t>за</w:t>
      </w:r>
      <w:r w:rsidRPr="002F675A">
        <w:rPr>
          <w:rFonts w:ascii="Times New Roman" w:hAnsi="Times New Roman"/>
          <w:sz w:val="28"/>
          <w:szCs w:val="28"/>
          <w:lang w:val="bg-BG"/>
        </w:rPr>
        <w:t xml:space="preserve"> регистриране на оператора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в Република България или </w:t>
      </w:r>
      <w:r w:rsidR="00E37F41">
        <w:rPr>
          <w:rFonts w:ascii="Times New Roman" w:hAnsi="Times New Roman"/>
          <w:sz w:val="28"/>
          <w:szCs w:val="28"/>
          <w:lang w:val="bg-BG"/>
        </w:rPr>
        <w:t xml:space="preserve">в </w:t>
      </w:r>
      <w:r w:rsidRPr="002F675A">
        <w:rPr>
          <w:rFonts w:ascii="Times New Roman" w:hAnsi="Times New Roman"/>
          <w:sz w:val="28"/>
          <w:szCs w:val="28"/>
          <w:lang w:val="bg-BG"/>
        </w:rPr>
        <w:t>друга държава членка. Тази мярка може да бъде наложена по инициатива на компетентния орган или координирано с другите държави членки.</w:t>
      </w:r>
    </w:p>
    <w:p w14:paraId="13D227ED" w14:textId="2E4D5452"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lastRenderedPageBreak/>
        <w:t xml:space="preserve">Предвиждат се и административнонаказателни разпоредби за неизпълнение на задължения, свързани с обмена на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които са в значителен размер предвид изискването на Директива (ЕС) 2023/2226 тези санкции да бъдат ефективни, пропорционални и възпиращи.</w:t>
      </w:r>
    </w:p>
    <w:p w14:paraId="005274C9" w14:textId="133A0F5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Законопроектът за изменение и допълнение на ДОПК е съобразен и с Международните стандарти за автоматичен обмен на информация по данъчни въпроси – Рамка за предоставяне на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(CARF) и изменение на Общия стандарт за предоставяне на информация от 2023 г. (CRS 2.0). По правилата на новия раздел </w:t>
      </w:r>
      <w:proofErr w:type="spellStart"/>
      <w:r w:rsidRPr="002F675A">
        <w:rPr>
          <w:rFonts w:ascii="Times New Roman" w:hAnsi="Times New Roman"/>
          <w:sz w:val="28"/>
          <w:szCs w:val="28"/>
          <w:lang w:val="bg-BG"/>
        </w:rPr>
        <w:t>IIIб</w:t>
      </w:r>
      <w:proofErr w:type="spellEnd"/>
      <w:r w:rsidRPr="002F675A">
        <w:rPr>
          <w:rFonts w:ascii="Times New Roman" w:hAnsi="Times New Roman"/>
          <w:sz w:val="28"/>
          <w:szCs w:val="28"/>
          <w:lang w:val="bg-BG"/>
        </w:rPr>
        <w:t xml:space="preserve"> в глава шестнадесета ще се осъществява обмен на информация и с партньорски юрисдикции, с които Република България има действащо споразумение, предвиждащо обмен на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Подобно споразумение е Многостранното споразумение между компетентните органи за автоматичен обмен на информация съгласно Рамката за предоставяне на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Списъкът с партньорски юрисдикции, за които Република България ще изпраща информация, ще се публикува на интернет страницата на </w:t>
      </w:r>
      <w:r w:rsidR="007F3120">
        <w:rPr>
          <w:rFonts w:ascii="Times New Roman" w:hAnsi="Times New Roman"/>
          <w:sz w:val="28"/>
          <w:szCs w:val="28"/>
          <w:lang w:val="bg-BG"/>
        </w:rPr>
        <w:t>НАП</w:t>
      </w:r>
      <w:r w:rsidRPr="002F675A">
        <w:rPr>
          <w:rFonts w:ascii="Times New Roman" w:hAnsi="Times New Roman"/>
          <w:sz w:val="28"/>
          <w:szCs w:val="28"/>
          <w:lang w:val="bg-BG"/>
        </w:rPr>
        <w:t>.</w:t>
      </w:r>
    </w:p>
    <w:p w14:paraId="7656F3A5" w14:textId="356B401E"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Със законопроекта се предлага разширяване на обхвата на автоматичния обмен на информация за финансови сметки. Съгласно действащата уредба за продуктите за електронни пари и цифровите валути на централните банки липсва задължение за предоставяне на информация, тъй като те не представляват пари, държани в депозитни сметки или във финансови активи по смисъла на действащите дефиниции. В тази връзка със законопроекта се предлага електронните пари и цифровите валути на централните банки да бъдат включени в обхвата на обмена на информация за финансови сметки, а дружествата за електронни пари да се включват в дефиницията за финансови институции в ДОПК. По този начин значително </w:t>
      </w:r>
      <w:r w:rsidRPr="002F675A">
        <w:rPr>
          <w:rFonts w:ascii="Times New Roman" w:hAnsi="Times New Roman"/>
          <w:sz w:val="28"/>
          <w:szCs w:val="28"/>
          <w:lang w:val="bg-BG"/>
        </w:rPr>
        <w:lastRenderedPageBreak/>
        <w:t xml:space="preserve">ще се разшири обемът на обменяните данни, като се включат </w:t>
      </w:r>
      <w:r w:rsidR="007F3120">
        <w:rPr>
          <w:rFonts w:ascii="Times New Roman" w:hAnsi="Times New Roman"/>
          <w:sz w:val="28"/>
          <w:szCs w:val="28"/>
          <w:lang w:val="bg-BG"/>
        </w:rPr>
        <w:br/>
      </w:r>
      <w:r w:rsidRPr="002F675A">
        <w:rPr>
          <w:rFonts w:ascii="Times New Roman" w:hAnsi="Times New Roman"/>
          <w:sz w:val="28"/>
          <w:szCs w:val="28"/>
          <w:lang w:val="bg-BG"/>
        </w:rPr>
        <w:t>по-иновативни финансови инструменти, които до този момент са били извън обхвата на автоматичния обмен.</w:t>
      </w:r>
    </w:p>
    <w:p w14:paraId="00CDFCBB" w14:textId="0C652E2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Промените както в директивата, така и в законопроекта са в съответствие с промените в Общия стандарт за предоставяне на информация (</w:t>
      </w:r>
      <w:proofErr w:type="spellStart"/>
      <w:r w:rsidRPr="002F675A">
        <w:rPr>
          <w:rFonts w:ascii="Times New Roman" w:hAnsi="Times New Roman"/>
          <w:sz w:val="28"/>
          <w:szCs w:val="28"/>
          <w:lang w:val="bg-BG"/>
        </w:rPr>
        <w:t>Common</w:t>
      </w:r>
      <w:proofErr w:type="spellEnd"/>
      <w:r w:rsidRPr="002F675A">
        <w:rPr>
          <w:rFonts w:ascii="Times New Roman" w:hAnsi="Times New Roman"/>
          <w:sz w:val="28"/>
          <w:szCs w:val="28"/>
          <w:lang w:val="bg-BG"/>
        </w:rPr>
        <w:t xml:space="preserve"> </w:t>
      </w:r>
      <w:proofErr w:type="spellStart"/>
      <w:r w:rsidRPr="002F675A">
        <w:rPr>
          <w:rFonts w:ascii="Times New Roman" w:hAnsi="Times New Roman"/>
          <w:sz w:val="28"/>
          <w:szCs w:val="28"/>
          <w:lang w:val="bg-BG"/>
        </w:rPr>
        <w:t>Reporting</w:t>
      </w:r>
      <w:proofErr w:type="spellEnd"/>
      <w:r w:rsidRPr="002F675A">
        <w:rPr>
          <w:rFonts w:ascii="Times New Roman" w:hAnsi="Times New Roman"/>
          <w:sz w:val="28"/>
          <w:szCs w:val="28"/>
          <w:lang w:val="bg-BG"/>
        </w:rPr>
        <w:t xml:space="preserve"> Standard/CRS 2.0) на ОИСР. Понятията, използвани в законопроекта за „финансова институция“, „депозитарна институция“ и „депозитна сметка“</w:t>
      </w:r>
      <w:r w:rsidR="00B37285">
        <w:rPr>
          <w:rFonts w:ascii="Times New Roman" w:hAnsi="Times New Roman"/>
          <w:sz w:val="28"/>
          <w:szCs w:val="28"/>
          <w:lang w:val="bg-BG"/>
        </w:rPr>
        <w:t>,</w:t>
      </w:r>
      <w:r w:rsidRPr="002F675A">
        <w:rPr>
          <w:rFonts w:ascii="Times New Roman" w:hAnsi="Times New Roman"/>
          <w:sz w:val="28"/>
          <w:szCs w:val="28"/>
          <w:lang w:val="bg-BG"/>
        </w:rPr>
        <w:t xml:space="preserve"> следват стандарта на ОИСР и директивите на ЕС в областта на административното сътрудничество. Те имат самостоятелно значение единствено за целите на автоматичния обмен на информация и не засягат правната природа на съответните институти по секторното законодателство.</w:t>
      </w:r>
    </w:p>
    <w:p w14:paraId="79653020"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Разширява се обхватът на доходите, предмет на автоматичен обмен на информация, като към съществуващите категории (трудови и директорски възнаграждения, животозастрахователни продукти, пенсии, доходи и собственост на недвижимо имущество, авторски и лицензионни възнаграждения) се добавят и дивиденти, които не са държани в попечителска сметка. Добавянето на тези доходи в обхвата на обмена на информация има за цел ограничаване на случаите на укриване на данъци и отклонение от данъчно облагане.</w:t>
      </w:r>
    </w:p>
    <w:p w14:paraId="39F4438C"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Разширява се обхватът на автоматичния обмен на информация за трансгранични данъчни становища и предварителни споразумения за ценообразуване, като в обменяната информация се включват и физически лица с висока нетна стойност на имуществото. Промяната ще създаде повече прозрачност по отношение на доходите на тези лица.</w:t>
      </w:r>
    </w:p>
    <w:p w14:paraId="6AD023E7"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Създава се задължение на изпълнителния директор на НАП да извършва периодичен преглед на процедурите и административната </w:t>
      </w:r>
      <w:r w:rsidRPr="002F675A">
        <w:rPr>
          <w:rFonts w:ascii="Times New Roman" w:hAnsi="Times New Roman"/>
          <w:sz w:val="28"/>
          <w:szCs w:val="28"/>
          <w:lang w:val="bg-BG"/>
        </w:rPr>
        <w:lastRenderedPageBreak/>
        <w:t>практика на агенцията по отношение на използването на информацията, обменяна по линия на административното сътрудничество. Целта е да се гарантира обработката и интегрирането на данните в системите на агенцията, насърчаването на доброволното спазване на данъчното законодателство, извършването на оценка на риска, провеждането на контролни производства, като по този начин ще се повиши ефективното използване на информацията от автоматичния обмен и качеството на обменяните данни.</w:t>
      </w:r>
    </w:p>
    <w:p w14:paraId="4DFE5126" w14:textId="783A9FEE"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В съответствие с правилата на Директива (ЕС) 2025/872 в </w:t>
      </w:r>
      <w:r w:rsidR="00B37285">
        <w:rPr>
          <w:rFonts w:ascii="Times New Roman" w:hAnsi="Times New Roman"/>
          <w:sz w:val="28"/>
          <w:szCs w:val="28"/>
          <w:lang w:val="bg-BG"/>
        </w:rPr>
        <w:t>З</w:t>
      </w:r>
      <w:r w:rsidRPr="002F675A">
        <w:rPr>
          <w:rFonts w:ascii="Times New Roman" w:hAnsi="Times New Roman"/>
          <w:sz w:val="28"/>
          <w:szCs w:val="28"/>
          <w:lang w:val="bg-BG"/>
        </w:rPr>
        <w:t>аконопроекта за изменение и допълнение на ДОПК се урежда автоматичният обмен на данни от информационните декларации в рамките на Европейския съюз.</w:t>
      </w:r>
    </w:p>
    <w:p w14:paraId="307BFEF0" w14:textId="01467DDB"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Общото правило е, че се обменят информационни декларации, подадени от съставни образувания, които са крайно предприятие майка или определено предоставящо информация образувание. Информационните декларации се изпращат на компетентните органи на други държави членки в тяхната цялост или част от тях в съответствие със специфични правила за разпределение:</w:t>
      </w:r>
    </w:p>
    <w:p w14:paraId="1FF018C1"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общият раздел на информационната декларация се предоставя на прилагащата държава членка, в която са разположени крайното образувание майка или съставните образувания на МГП;</w:t>
      </w:r>
    </w:p>
    <w:p w14:paraId="58F2563D" w14:textId="4D711DC2"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общият раздел на информационната декларация с изключение на частта относно обобщената информация се предоставя на държавите членки, въвели само допустим национален допълнителен данък и в които са разположени съставни образувания на МГП, съвместни предприятия или член на група съвместни предприятия на МГП или където с допустимия </w:t>
      </w:r>
      <w:r w:rsidRPr="002F675A">
        <w:rPr>
          <w:rFonts w:ascii="Times New Roman" w:hAnsi="Times New Roman"/>
          <w:sz w:val="28"/>
          <w:szCs w:val="28"/>
          <w:lang w:val="bg-BG"/>
        </w:rPr>
        <w:lastRenderedPageBreak/>
        <w:t>национален допълнителен данък се облагат съставни образувания или съвместни предприятия без юрисдикция;</w:t>
      </w:r>
    </w:p>
    <w:p w14:paraId="63E34FDA"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раздели с информация по юрисдикции се предоставят на държавите членки, които имат права на данъчно облагане съгласно Директива (ЕС) 2022/2523.</w:t>
      </w:r>
    </w:p>
    <w:p w14:paraId="227B5B67" w14:textId="26CC580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Въведени са разпоредби относно сътрудничеството между компетентните органи при корекции, както и за осигуряване на спазването и прилагане</w:t>
      </w:r>
      <w:r w:rsidR="00B37285">
        <w:rPr>
          <w:rFonts w:ascii="Times New Roman" w:hAnsi="Times New Roman"/>
          <w:sz w:val="28"/>
          <w:szCs w:val="28"/>
          <w:lang w:val="bg-BG"/>
        </w:rPr>
        <w:t>то</w:t>
      </w:r>
      <w:r w:rsidRPr="002F675A">
        <w:rPr>
          <w:rFonts w:ascii="Times New Roman" w:hAnsi="Times New Roman"/>
          <w:sz w:val="28"/>
          <w:szCs w:val="28"/>
          <w:lang w:val="bg-BG"/>
        </w:rPr>
        <w:t xml:space="preserve"> на правилата по отношение на информационната декларация за допълнителния данък.</w:t>
      </w:r>
    </w:p>
    <w:p w14:paraId="716E45E6" w14:textId="6E878B9F"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w:t>
      </w:r>
      <w:r w:rsidRPr="002F675A">
        <w:rPr>
          <w:rFonts w:ascii="Times New Roman" w:hAnsi="Times New Roman"/>
          <w:sz w:val="28"/>
          <w:szCs w:val="28"/>
          <w:lang w:val="bg-BG"/>
        </w:rPr>
        <w:tab/>
        <w:t xml:space="preserve">В изпълнение на препоръките на Работна група 6 към Комитета по фискални въпроси на ОИСР дефиницията на понятието „пазарна цена“ за целите на трансферното ценообразуване и методите за определяне на пазарните цени се привеждат в съответствие с Ръководството по трансферно ценообразуване на ОИСР. Ръководството по трансферно ценообразуване за мултинационални предприятия и данъчни администрации на ОИСР е най-авторитетният източник за тълкуване на принципа на независимите пазарни отношения – международен стандарт за определяне на печалбите на свързани лица за данъчни цели, залегнал в </w:t>
      </w:r>
      <w:r w:rsidR="007F3120">
        <w:rPr>
          <w:rFonts w:ascii="Times New Roman" w:hAnsi="Times New Roman"/>
          <w:sz w:val="28"/>
          <w:szCs w:val="28"/>
          <w:lang w:val="bg-BG"/>
        </w:rPr>
        <w:br/>
      </w:r>
      <w:r w:rsidRPr="002F675A">
        <w:rPr>
          <w:rFonts w:ascii="Times New Roman" w:hAnsi="Times New Roman"/>
          <w:sz w:val="28"/>
          <w:szCs w:val="28"/>
          <w:lang w:val="bg-BG"/>
        </w:rPr>
        <w:t>чл. 9, ал. 1 от Модела на данъчна спогодба за доходите и имуществото на ОИСР (Модела на СИДДО на ОИСР), възприет от България като основа при воденето на преговори за сключване на спогодби за избягване на двойното данъчно облагане.</w:t>
      </w:r>
    </w:p>
    <w:p w14:paraId="2E7C6D56"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Установяването на такова съответствие е допълнителна гаранция за развитието на единна административна и съдебна практика при оценката на пазарния характер на търговските и финансовите взаимоотношения между свързани лица, независимо от правното основание, въз основа на което се прави тази оценка – вътрешното законодателство или </w:t>
      </w:r>
      <w:r w:rsidRPr="002F675A">
        <w:rPr>
          <w:rFonts w:ascii="Times New Roman" w:hAnsi="Times New Roman"/>
          <w:sz w:val="28"/>
          <w:szCs w:val="28"/>
          <w:lang w:val="bg-BG"/>
        </w:rPr>
        <w:lastRenderedPageBreak/>
        <w:t>международен договор, по който България е страна. Приемането на международни стандарти по отношение на понятието „пазарна цена“ гарантира по-голяма правна сигурност за предприятията, функциониращи в международна среда, и прилагането на единен подход при оценката на сделките им със свързани лица.</w:t>
      </w:r>
    </w:p>
    <w:p w14:paraId="767B3B8E" w14:textId="3167FCBC"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Въвеждането на друг метод за определяне на пазарни цени извън съществуващите пет метода ще облекчи данъчно задължените лица при обосноваването на спазването на принципа на независимите пазарни отношения в някои ситуации, в които установените до момента пет метода за определяне на пазарните цени са неподходящи или тяхното прилагане не е достатъчно надеждно. В същото време за прилагането на друг метод са въведени определени ограничения, което гарантира, че такъв метод не може да се използва произволно и няма да се допуснат злоупотреби от страна на лицата.</w:t>
      </w:r>
    </w:p>
    <w:p w14:paraId="10853712" w14:textId="586F313F"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Прецизирането на дефиницията за пазарна цена не я променя по същество, а методите за определяне на пазарните цени са регламентирани в съответствие с Ръководството за трансферно ценообразуване в наредбата, издавана на основание § 1, т. 10 от </w:t>
      </w:r>
      <w:r w:rsidR="00B37285" w:rsidRPr="002F675A">
        <w:rPr>
          <w:rFonts w:ascii="Times New Roman" w:hAnsi="Times New Roman"/>
          <w:sz w:val="28"/>
          <w:szCs w:val="28"/>
          <w:lang w:val="bg-BG"/>
        </w:rPr>
        <w:t>Д</w:t>
      </w:r>
      <w:r w:rsidRPr="002F675A">
        <w:rPr>
          <w:rFonts w:ascii="Times New Roman" w:hAnsi="Times New Roman"/>
          <w:sz w:val="28"/>
          <w:szCs w:val="28"/>
          <w:lang w:val="bg-BG"/>
        </w:rPr>
        <w:t>опълнителните разпоредби на ДОПК, и промяната е в полза на лицата.</w:t>
      </w:r>
    </w:p>
    <w:p w14:paraId="15611817" w14:textId="77777777" w:rsidR="002F675A" w:rsidRPr="00B37285" w:rsidRDefault="002F675A" w:rsidP="002F675A">
      <w:pPr>
        <w:spacing w:before="120" w:line="360" w:lineRule="auto"/>
        <w:ind w:firstLine="1134"/>
        <w:jc w:val="both"/>
        <w:rPr>
          <w:rFonts w:ascii="Times New Roman" w:hAnsi="Times New Roman"/>
          <w:b/>
          <w:bCs/>
          <w:sz w:val="28"/>
          <w:szCs w:val="28"/>
          <w:lang w:val="bg-BG"/>
        </w:rPr>
      </w:pPr>
      <w:r w:rsidRPr="00B37285">
        <w:rPr>
          <w:rFonts w:ascii="Times New Roman" w:hAnsi="Times New Roman"/>
          <w:b/>
          <w:bCs/>
          <w:sz w:val="28"/>
          <w:szCs w:val="28"/>
          <w:lang w:val="bg-BG"/>
        </w:rPr>
        <w:t>4.</w:t>
      </w:r>
      <w:r w:rsidRPr="00B37285">
        <w:rPr>
          <w:rFonts w:ascii="Times New Roman" w:hAnsi="Times New Roman"/>
          <w:b/>
          <w:bCs/>
          <w:sz w:val="28"/>
          <w:szCs w:val="28"/>
          <w:lang w:val="bg-BG"/>
        </w:rPr>
        <w:tab/>
        <w:t>Очаквани резултати от прилагането</w:t>
      </w:r>
    </w:p>
    <w:p w14:paraId="48E5F775" w14:textId="01FFEA9B"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В резултат от приемането на промените, предложени в проекта на Закон за изменение и допълнение на Данъчно-осигурителния процесуален кодекс, националното законодателство ще бъде приведено в съответствие с правото на Европейския съюз и в синхрон със законодателствата на другите държави членки. Ще бъдат въведени единни правила за предоставянето на информация, приложими за всички държави членки. Ще се гарантира ефективното и последователното им прилагане предвид това</w:t>
      </w:r>
      <w:r w:rsidR="001A5C9C">
        <w:rPr>
          <w:rFonts w:ascii="Times New Roman" w:hAnsi="Times New Roman"/>
          <w:sz w:val="28"/>
          <w:szCs w:val="28"/>
          <w:lang w:val="bg-BG"/>
        </w:rPr>
        <w:t>,</w:t>
      </w:r>
      <w:r w:rsidRPr="002F675A">
        <w:rPr>
          <w:rFonts w:ascii="Times New Roman" w:hAnsi="Times New Roman"/>
          <w:sz w:val="28"/>
          <w:szCs w:val="28"/>
          <w:lang w:val="bg-BG"/>
        </w:rPr>
        <w:t xml:space="preserve"> </w:t>
      </w:r>
      <w:r w:rsidRPr="002F675A">
        <w:rPr>
          <w:rFonts w:ascii="Times New Roman" w:hAnsi="Times New Roman"/>
          <w:sz w:val="28"/>
          <w:szCs w:val="28"/>
          <w:lang w:val="bg-BG"/>
        </w:rPr>
        <w:lastRenderedPageBreak/>
        <w:t xml:space="preserve">че ще бъдат наложени едни и същи изисквания за отчетност на предоставящите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дружествата за електронни пари в държавите членки. Обменът на предоставената от доставчиците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w:t>
      </w:r>
      <w:r w:rsidR="001A5C9C">
        <w:rPr>
          <w:rFonts w:ascii="Times New Roman" w:hAnsi="Times New Roman"/>
          <w:sz w:val="28"/>
          <w:szCs w:val="28"/>
          <w:lang w:val="bg-BG"/>
        </w:rPr>
        <w:t xml:space="preserve">от </w:t>
      </w:r>
      <w:r w:rsidRPr="002F675A">
        <w:rPr>
          <w:rFonts w:ascii="Times New Roman" w:hAnsi="Times New Roman"/>
          <w:sz w:val="28"/>
          <w:szCs w:val="28"/>
          <w:lang w:val="bg-BG"/>
        </w:rPr>
        <w:t xml:space="preserve">дружествата за електронни пари информация и на данните от информационната декларация за допълнителния данък ще позволи на данъчните администрации да разполагат с пълен обем от информация относно получените от ползвателите на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електронни пари доходи, съответно за получените от МГП печалби. Обменената информация между компетентните органи на държавите членки ще подпомогне данъчните органи при установяването на дължимите данъци.</w:t>
      </w:r>
    </w:p>
    <w:p w14:paraId="395319D2" w14:textId="7DF69830"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Прецизирането и допълването на разпоредбите, регламентиращи различните форми на административно сътрудничество и обмен на информация по начин, аналогичен на законодателствата на другите държави членки, ще гарантира правна сигурност и яснота на правилата и ще осигури ефективността на системата на административното сътрудничество и обмена на информация.</w:t>
      </w:r>
    </w:p>
    <w:p w14:paraId="441270B8" w14:textId="51D7E89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Правилата, предвидени в законопроекта, ще бъдат в съответствие и с правилата на ОИСР както в областта на обмена на информация, така и в областта на трансферното ценообразуване.</w:t>
      </w:r>
    </w:p>
    <w:p w14:paraId="127B1E1C"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В резултат на промените се очаква да бъде подобрена фискалната дисциплина, лицата да бъдат насърчени към доброволно спазване на данъчното законодателство и да се въздържат от укриване на данъци и отклонение от данъчно облагане.</w:t>
      </w:r>
    </w:p>
    <w:p w14:paraId="3D762133" w14:textId="77777777" w:rsidR="002F675A" w:rsidRPr="001A5C9C" w:rsidRDefault="002F675A" w:rsidP="002F675A">
      <w:pPr>
        <w:spacing w:before="120" w:line="360" w:lineRule="auto"/>
        <w:ind w:firstLine="1134"/>
        <w:jc w:val="both"/>
        <w:rPr>
          <w:rFonts w:ascii="Times New Roman" w:hAnsi="Times New Roman"/>
          <w:b/>
          <w:bCs/>
          <w:sz w:val="28"/>
          <w:szCs w:val="28"/>
          <w:lang w:val="bg-BG"/>
        </w:rPr>
      </w:pPr>
      <w:r w:rsidRPr="001A5C9C">
        <w:rPr>
          <w:rFonts w:ascii="Times New Roman" w:hAnsi="Times New Roman"/>
          <w:b/>
          <w:bCs/>
          <w:sz w:val="28"/>
          <w:szCs w:val="28"/>
          <w:lang w:val="bg-BG"/>
        </w:rPr>
        <w:t>5.</w:t>
      </w:r>
      <w:r w:rsidRPr="001A5C9C">
        <w:rPr>
          <w:rFonts w:ascii="Times New Roman" w:hAnsi="Times New Roman"/>
          <w:b/>
          <w:bCs/>
          <w:sz w:val="28"/>
          <w:szCs w:val="28"/>
          <w:lang w:val="bg-BG"/>
        </w:rPr>
        <w:tab/>
        <w:t>Финансовите и други средства, необходими за прилагането на новата уредба</w:t>
      </w:r>
    </w:p>
    <w:p w14:paraId="77E476DE" w14:textId="7FEF3C76"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lastRenderedPageBreak/>
        <w:t xml:space="preserve">Предложените промени в проекта на акт няма да доведат до въздействие върху държавния бюджет. По отношение на практическото прилагане на административното сътрудничество от компетентните органи следва да се отбележи, че към настоящия момент в </w:t>
      </w:r>
      <w:r w:rsidR="007F3120">
        <w:rPr>
          <w:rFonts w:ascii="Times New Roman" w:hAnsi="Times New Roman"/>
          <w:sz w:val="28"/>
          <w:szCs w:val="28"/>
          <w:lang w:val="bg-BG"/>
        </w:rPr>
        <w:t>НАП</w:t>
      </w:r>
      <w:r w:rsidRPr="002F675A">
        <w:rPr>
          <w:rFonts w:ascii="Times New Roman" w:hAnsi="Times New Roman"/>
          <w:sz w:val="28"/>
          <w:szCs w:val="28"/>
          <w:lang w:val="bg-BG"/>
        </w:rPr>
        <w:t xml:space="preserve"> е изградено и действа звено, което по силата на предложените промени в ДОПК ще осъществява автоматичния обмен на информация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автоматичния обмен на данни от информационната декларация по </w:t>
      </w:r>
      <w:r w:rsidR="001A5C9C">
        <w:rPr>
          <w:rFonts w:ascii="Times New Roman" w:hAnsi="Times New Roman"/>
          <w:sz w:val="28"/>
          <w:szCs w:val="28"/>
          <w:lang w:val="bg-BG"/>
        </w:rPr>
        <w:t xml:space="preserve">чл. </w:t>
      </w:r>
      <w:r w:rsidRPr="002F675A">
        <w:rPr>
          <w:rFonts w:ascii="Times New Roman" w:hAnsi="Times New Roman"/>
          <w:sz w:val="28"/>
          <w:szCs w:val="28"/>
          <w:lang w:val="bg-BG"/>
        </w:rPr>
        <w:t>260я</w:t>
      </w:r>
      <w:r w:rsidRPr="001A5C9C">
        <w:rPr>
          <w:rFonts w:ascii="Times New Roman" w:hAnsi="Times New Roman"/>
          <w:sz w:val="28"/>
          <w:szCs w:val="28"/>
          <w:vertAlign w:val="superscript"/>
          <w:lang w:val="bg-BG"/>
        </w:rPr>
        <w:t>23</w:t>
      </w:r>
      <w:r w:rsidRPr="002F675A">
        <w:rPr>
          <w:rFonts w:ascii="Times New Roman" w:hAnsi="Times New Roman"/>
          <w:sz w:val="28"/>
          <w:szCs w:val="28"/>
          <w:lang w:val="bg-BG"/>
        </w:rPr>
        <w:t>, ал. 6 от ЗКПО.</w:t>
      </w:r>
    </w:p>
    <w:p w14:paraId="12B11E95" w14:textId="294E5DA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 xml:space="preserve">Промените, които се предвиждат в </w:t>
      </w:r>
      <w:r w:rsidR="00972959">
        <w:rPr>
          <w:rFonts w:ascii="Times New Roman" w:hAnsi="Times New Roman"/>
          <w:sz w:val="28"/>
          <w:szCs w:val="28"/>
          <w:lang w:val="bg-BG"/>
        </w:rPr>
        <w:t>законопроекта</w:t>
      </w:r>
      <w:r w:rsidRPr="002F675A">
        <w:rPr>
          <w:rFonts w:ascii="Times New Roman" w:hAnsi="Times New Roman"/>
          <w:sz w:val="28"/>
          <w:szCs w:val="28"/>
          <w:lang w:val="bg-BG"/>
        </w:rPr>
        <w:t xml:space="preserve">, ще доведат до необходимост от допълнителни финансови средства за предоставящите информация доставчици на услуги за </w:t>
      </w:r>
      <w:proofErr w:type="spellStart"/>
      <w:r w:rsidRPr="002F675A">
        <w:rPr>
          <w:rFonts w:ascii="Times New Roman" w:hAnsi="Times New Roman"/>
          <w:sz w:val="28"/>
          <w:szCs w:val="28"/>
          <w:lang w:val="bg-BG"/>
        </w:rPr>
        <w:t>криптоактиви</w:t>
      </w:r>
      <w:proofErr w:type="spellEnd"/>
      <w:r w:rsidRPr="002F675A">
        <w:rPr>
          <w:rFonts w:ascii="Times New Roman" w:hAnsi="Times New Roman"/>
          <w:sz w:val="28"/>
          <w:szCs w:val="28"/>
          <w:lang w:val="bg-BG"/>
        </w:rPr>
        <w:t xml:space="preserve"> и дружествата за електронни пари, които ще бъдат свързани с разработване на информационните системи, </w:t>
      </w:r>
      <w:r w:rsidR="00972959">
        <w:rPr>
          <w:rFonts w:ascii="Times New Roman" w:hAnsi="Times New Roman"/>
          <w:sz w:val="28"/>
          <w:szCs w:val="28"/>
          <w:lang w:val="bg-BG"/>
        </w:rPr>
        <w:t xml:space="preserve">с </w:t>
      </w:r>
      <w:r w:rsidRPr="002F675A">
        <w:rPr>
          <w:rFonts w:ascii="Times New Roman" w:hAnsi="Times New Roman"/>
          <w:sz w:val="28"/>
          <w:szCs w:val="28"/>
          <w:lang w:val="bg-BG"/>
        </w:rPr>
        <w:t xml:space="preserve">промени във вътрешната организация на работа, обучения на персонала, създаване на необходимите методологии и мониторингови системи. От това ще произтекат </w:t>
      </w:r>
      <w:r w:rsidR="00972959">
        <w:rPr>
          <w:rFonts w:ascii="Times New Roman" w:hAnsi="Times New Roman"/>
          <w:sz w:val="28"/>
          <w:szCs w:val="28"/>
          <w:lang w:val="bg-BG"/>
        </w:rPr>
        <w:t xml:space="preserve">и допълнителни </w:t>
      </w:r>
      <w:r w:rsidRPr="002F675A">
        <w:rPr>
          <w:rFonts w:ascii="Times New Roman" w:hAnsi="Times New Roman"/>
          <w:sz w:val="28"/>
          <w:szCs w:val="28"/>
          <w:lang w:val="bg-BG"/>
        </w:rPr>
        <w:t xml:space="preserve">разходи за лицата, които на този етап не могат да бъдат коректно изчислени. Предвижда се създаването на електронни услуги на интернет страницата на </w:t>
      </w:r>
      <w:r w:rsidR="007F3120">
        <w:rPr>
          <w:rFonts w:ascii="Times New Roman" w:hAnsi="Times New Roman"/>
          <w:sz w:val="28"/>
          <w:szCs w:val="28"/>
          <w:lang w:val="bg-BG"/>
        </w:rPr>
        <w:t>НАП</w:t>
      </w:r>
      <w:r w:rsidRPr="002F675A">
        <w:rPr>
          <w:rFonts w:ascii="Times New Roman" w:hAnsi="Times New Roman"/>
          <w:sz w:val="28"/>
          <w:szCs w:val="28"/>
          <w:lang w:val="bg-BG"/>
        </w:rPr>
        <w:t>, където информацията да бъде предоставяна в предварително дефиниран формат, което ще оптимизира разходите по предоставянето на информацията на компетентния орган.</w:t>
      </w:r>
    </w:p>
    <w:p w14:paraId="7EA20802" w14:textId="77777777" w:rsidR="002F675A" w:rsidRPr="00972959" w:rsidRDefault="002F675A" w:rsidP="002F675A">
      <w:pPr>
        <w:spacing w:before="120" w:line="360" w:lineRule="auto"/>
        <w:ind w:firstLine="1134"/>
        <w:jc w:val="both"/>
        <w:rPr>
          <w:rFonts w:ascii="Times New Roman" w:hAnsi="Times New Roman"/>
          <w:b/>
          <w:bCs/>
          <w:sz w:val="28"/>
          <w:szCs w:val="28"/>
          <w:lang w:val="bg-BG"/>
        </w:rPr>
      </w:pPr>
      <w:r w:rsidRPr="00972959">
        <w:rPr>
          <w:rFonts w:ascii="Times New Roman" w:hAnsi="Times New Roman"/>
          <w:b/>
          <w:bCs/>
          <w:sz w:val="28"/>
          <w:szCs w:val="28"/>
          <w:lang w:val="bg-BG"/>
        </w:rPr>
        <w:t>6.</w:t>
      </w:r>
      <w:r w:rsidRPr="00972959">
        <w:rPr>
          <w:rFonts w:ascii="Times New Roman" w:hAnsi="Times New Roman"/>
          <w:b/>
          <w:bCs/>
          <w:sz w:val="28"/>
          <w:szCs w:val="28"/>
          <w:lang w:val="bg-BG"/>
        </w:rPr>
        <w:tab/>
        <w:t>Анализ за съответствие с правото на Европейския съюз</w:t>
      </w:r>
    </w:p>
    <w:p w14:paraId="291A3215" w14:textId="1347F088"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Предложените промени са свързани с изпълнение на задължението на Република България като държава</w:t>
      </w:r>
      <w:r w:rsidR="007F3120">
        <w:rPr>
          <w:rFonts w:ascii="Times New Roman" w:hAnsi="Times New Roman"/>
          <w:sz w:val="28"/>
          <w:szCs w:val="28"/>
          <w:lang w:val="bg-BG"/>
        </w:rPr>
        <w:t xml:space="preserve"> </w:t>
      </w:r>
      <w:r w:rsidR="00972959">
        <w:rPr>
          <w:rFonts w:ascii="Times New Roman" w:hAnsi="Times New Roman"/>
          <w:sz w:val="28"/>
          <w:szCs w:val="28"/>
          <w:lang w:val="bg-BG"/>
        </w:rPr>
        <w:t>-</w:t>
      </w:r>
      <w:r w:rsidR="007F3120">
        <w:rPr>
          <w:rFonts w:ascii="Times New Roman" w:hAnsi="Times New Roman"/>
          <w:sz w:val="28"/>
          <w:szCs w:val="28"/>
          <w:lang w:val="bg-BG"/>
        </w:rPr>
        <w:t xml:space="preserve"> </w:t>
      </w:r>
      <w:r w:rsidRPr="002F675A">
        <w:rPr>
          <w:rFonts w:ascii="Times New Roman" w:hAnsi="Times New Roman"/>
          <w:sz w:val="28"/>
          <w:szCs w:val="28"/>
          <w:lang w:val="bg-BG"/>
        </w:rPr>
        <w:t>членка на Европейския съюз</w:t>
      </w:r>
      <w:r w:rsidR="007F3120">
        <w:rPr>
          <w:rFonts w:ascii="Times New Roman" w:hAnsi="Times New Roman"/>
          <w:sz w:val="28"/>
          <w:szCs w:val="28"/>
          <w:lang w:val="bg-BG"/>
        </w:rPr>
        <w:t>,</w:t>
      </w:r>
      <w:r w:rsidRPr="002F675A">
        <w:rPr>
          <w:rFonts w:ascii="Times New Roman" w:hAnsi="Times New Roman"/>
          <w:sz w:val="28"/>
          <w:szCs w:val="28"/>
          <w:lang w:val="bg-BG"/>
        </w:rPr>
        <w:t xml:space="preserve"> за въвеждане в националното законодателство </w:t>
      </w:r>
      <w:r w:rsidR="00972959">
        <w:rPr>
          <w:rFonts w:ascii="Times New Roman" w:hAnsi="Times New Roman"/>
          <w:sz w:val="28"/>
          <w:szCs w:val="28"/>
          <w:lang w:val="bg-BG"/>
        </w:rPr>
        <w:t xml:space="preserve">- </w:t>
      </w:r>
      <w:r w:rsidRPr="002F675A">
        <w:rPr>
          <w:rFonts w:ascii="Times New Roman" w:hAnsi="Times New Roman"/>
          <w:sz w:val="28"/>
          <w:szCs w:val="28"/>
          <w:lang w:val="bg-BG"/>
        </w:rPr>
        <w:t xml:space="preserve">на директивите в областта на административното сътрудничество и </w:t>
      </w:r>
      <w:r w:rsidR="00972959">
        <w:rPr>
          <w:rFonts w:ascii="Times New Roman" w:hAnsi="Times New Roman"/>
          <w:sz w:val="28"/>
          <w:szCs w:val="28"/>
          <w:lang w:val="bg-BG"/>
        </w:rPr>
        <w:t xml:space="preserve">на </w:t>
      </w:r>
      <w:r w:rsidRPr="002F675A">
        <w:rPr>
          <w:rFonts w:ascii="Times New Roman" w:hAnsi="Times New Roman"/>
          <w:sz w:val="28"/>
          <w:szCs w:val="28"/>
          <w:lang w:val="bg-BG"/>
        </w:rPr>
        <w:t>обмена на информация за данъчни цели</w:t>
      </w:r>
      <w:r w:rsidR="00972959">
        <w:rPr>
          <w:rFonts w:ascii="Times New Roman" w:hAnsi="Times New Roman"/>
          <w:sz w:val="28"/>
          <w:szCs w:val="28"/>
          <w:lang w:val="bg-BG"/>
        </w:rPr>
        <w:t>.</w:t>
      </w:r>
      <w:r w:rsidRPr="002F675A">
        <w:rPr>
          <w:rFonts w:ascii="Times New Roman" w:hAnsi="Times New Roman"/>
          <w:sz w:val="28"/>
          <w:szCs w:val="28"/>
          <w:lang w:val="bg-BG"/>
        </w:rPr>
        <w:t xml:space="preserve"> В тази връзка към законопроекта са изготвени таблици за съответствие с правото на Европейския съюз. Предложените правила са в пълно съответствие с актовете на ЕС.</w:t>
      </w:r>
    </w:p>
    <w:p w14:paraId="6D00251F"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lastRenderedPageBreak/>
        <w:t xml:space="preserve">Законопроектът не въвежда технически регламент и не следва да бъде </w:t>
      </w:r>
      <w:proofErr w:type="spellStart"/>
      <w:r w:rsidRPr="002F675A">
        <w:rPr>
          <w:rFonts w:ascii="Times New Roman" w:hAnsi="Times New Roman"/>
          <w:sz w:val="28"/>
          <w:szCs w:val="28"/>
          <w:lang w:val="bg-BG"/>
        </w:rPr>
        <w:t>нотифициран</w:t>
      </w:r>
      <w:proofErr w:type="spellEnd"/>
      <w:r w:rsidRPr="002F675A">
        <w:rPr>
          <w:rFonts w:ascii="Times New Roman" w:hAnsi="Times New Roman"/>
          <w:sz w:val="28"/>
          <w:szCs w:val="28"/>
          <w:lang w:val="bg-BG"/>
        </w:rPr>
        <w:t xml:space="preserve"> преди приемането му съгласно с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5626B66F" w14:textId="77777777" w:rsidR="002F675A" w:rsidRPr="00972959" w:rsidRDefault="002F675A" w:rsidP="002F675A">
      <w:pPr>
        <w:spacing w:before="120" w:line="360" w:lineRule="auto"/>
        <w:ind w:firstLine="1134"/>
        <w:jc w:val="both"/>
        <w:rPr>
          <w:rFonts w:ascii="Times New Roman" w:hAnsi="Times New Roman"/>
          <w:b/>
          <w:bCs/>
          <w:sz w:val="28"/>
          <w:szCs w:val="28"/>
          <w:lang w:val="bg-BG"/>
        </w:rPr>
      </w:pPr>
      <w:r w:rsidRPr="00972959">
        <w:rPr>
          <w:rFonts w:ascii="Times New Roman" w:hAnsi="Times New Roman"/>
          <w:b/>
          <w:bCs/>
          <w:sz w:val="28"/>
          <w:szCs w:val="28"/>
          <w:lang w:val="bg-BG"/>
        </w:rPr>
        <w:t>7. Информация за проведените обществени консултации</w:t>
      </w:r>
    </w:p>
    <w:p w14:paraId="26319F2F" w14:textId="77777777" w:rsidR="002F675A" w:rsidRPr="002F675A" w:rsidRDefault="002F675A" w:rsidP="002F675A">
      <w:pPr>
        <w:spacing w:before="120" w:line="360" w:lineRule="auto"/>
        <w:ind w:firstLine="1134"/>
        <w:jc w:val="both"/>
        <w:rPr>
          <w:rFonts w:ascii="Times New Roman" w:hAnsi="Times New Roman"/>
          <w:sz w:val="28"/>
          <w:szCs w:val="28"/>
          <w:lang w:val="bg-BG"/>
        </w:rPr>
      </w:pPr>
      <w:r w:rsidRPr="002F675A">
        <w:rPr>
          <w:rFonts w:ascii="Times New Roman" w:hAnsi="Times New Roman"/>
          <w:sz w:val="28"/>
          <w:szCs w:val="28"/>
          <w:lang w:val="bg-BG"/>
        </w:rPr>
        <w:t>Проектът на закон, мотивите, частичната предварителна оценка на въздействието и становището на дирекция „Координация и модернизация на администрацията“ в администрацията на Министерския съвет са публикувани за обществени консултации съгласно чл. 26, ал. 3 и 4 от Закона за нормативните актове на интернет страницата на Министерството на финансите и на Портала за обществени консултации за срок от 30 дни.</w:t>
      </w:r>
    </w:p>
    <w:p w14:paraId="2D00C658" w14:textId="58B4A643" w:rsidR="007F2214" w:rsidRDefault="002F675A" w:rsidP="002F675A">
      <w:pPr>
        <w:spacing w:before="120" w:line="360" w:lineRule="auto"/>
        <w:ind w:firstLine="1134"/>
        <w:jc w:val="both"/>
        <w:rPr>
          <w:rFonts w:ascii="Times New Roman" w:hAnsi="Times New Roman"/>
          <w:sz w:val="26"/>
          <w:szCs w:val="26"/>
          <w:lang w:val="bg-BG"/>
        </w:rPr>
      </w:pPr>
      <w:r w:rsidRPr="002F675A">
        <w:rPr>
          <w:rFonts w:ascii="Times New Roman" w:hAnsi="Times New Roman"/>
          <w:sz w:val="28"/>
          <w:szCs w:val="28"/>
          <w:lang w:val="bg-BG"/>
        </w:rPr>
        <w:t>В съответствие с чл. 26, ал. 5 от Закона за нормативните актове справката за постъпилите предложения заедно с обосновка за неприетите предложения в резултат на проведените обществени консултации е публикувана на интернет страницата на Министерството финансите и на Портала за обществени консултации.</w:t>
      </w:r>
    </w:p>
    <w:p w14:paraId="11C5E18F" w14:textId="77777777" w:rsidR="000245C5" w:rsidRPr="00921987" w:rsidRDefault="000245C5" w:rsidP="00D013AB">
      <w:pPr>
        <w:spacing w:before="120" w:line="288" w:lineRule="auto"/>
        <w:ind w:firstLine="1134"/>
        <w:jc w:val="both"/>
        <w:rPr>
          <w:rFonts w:ascii="Times New Roman" w:hAnsi="Times New Roman"/>
          <w:sz w:val="26"/>
          <w:szCs w:val="26"/>
          <w:lang w:val="bg-BG"/>
        </w:rPr>
      </w:pPr>
    </w:p>
    <w:p w14:paraId="6F6AD847" w14:textId="77777777" w:rsidR="000245C5" w:rsidRPr="00921987" w:rsidRDefault="000245C5" w:rsidP="00D013AB">
      <w:pPr>
        <w:spacing w:before="120" w:line="288" w:lineRule="auto"/>
        <w:ind w:firstLine="1134"/>
        <w:jc w:val="both"/>
        <w:rPr>
          <w:rFonts w:ascii="Times New Roman" w:hAnsi="Times New Roman"/>
          <w:sz w:val="26"/>
          <w:szCs w:val="26"/>
          <w:lang w:val="bg-BG"/>
        </w:rPr>
      </w:pPr>
    </w:p>
    <w:p w14:paraId="70F817DF" w14:textId="7369153D" w:rsidR="00422E35" w:rsidRPr="00921987" w:rsidRDefault="00921987" w:rsidP="00422E35">
      <w:pPr>
        <w:pStyle w:val="1"/>
        <w:tabs>
          <w:tab w:val="left" w:pos="709"/>
          <w:tab w:val="left" w:pos="851"/>
        </w:tabs>
        <w:spacing w:before="120" w:after="0" w:line="288" w:lineRule="auto"/>
        <w:ind w:left="0" w:firstLine="1134"/>
        <w:jc w:val="both"/>
        <w:rPr>
          <w:rFonts w:ascii="Times New Roman" w:hAnsi="Times New Roman"/>
          <w:b/>
          <w:sz w:val="28"/>
          <w:szCs w:val="28"/>
        </w:rPr>
      </w:pPr>
      <w:r w:rsidRPr="00921987">
        <w:rPr>
          <w:rFonts w:ascii="Times New Roman" w:hAnsi="Times New Roman"/>
          <w:b/>
          <w:sz w:val="28"/>
          <w:szCs w:val="28"/>
        </w:rPr>
        <w:t>АНДРЕЙ ГЮРОВ</w:t>
      </w:r>
    </w:p>
    <w:p w14:paraId="78B8BE6B" w14:textId="77777777" w:rsidR="00422E35" w:rsidRPr="00921987" w:rsidRDefault="00422E35" w:rsidP="00422E35">
      <w:pPr>
        <w:tabs>
          <w:tab w:val="left" w:pos="1790"/>
        </w:tabs>
        <w:ind w:left="1134"/>
        <w:rPr>
          <w:rFonts w:ascii="Times New Roman" w:hAnsi="Times New Roman"/>
          <w:b/>
          <w:sz w:val="28"/>
          <w:szCs w:val="28"/>
          <w:lang w:val="bg-BG"/>
        </w:rPr>
      </w:pPr>
      <w:bookmarkStart w:id="0" w:name="_Hlk92799938"/>
      <w:r w:rsidRPr="00921987">
        <w:rPr>
          <w:rFonts w:ascii="Times New Roman" w:hAnsi="Times New Roman"/>
          <w:b/>
          <w:sz w:val="28"/>
          <w:szCs w:val="28"/>
          <w:lang w:val="bg-BG"/>
        </w:rPr>
        <w:t>МИНИСТЪР-ПРЕДСЕДАТЕЛ:</w:t>
      </w:r>
    </w:p>
    <w:bookmarkEnd w:id="0"/>
    <w:p w14:paraId="626E0B2D" w14:textId="6CACD35D" w:rsidR="00422E35" w:rsidRPr="00921987" w:rsidRDefault="00565013" w:rsidP="00422E35">
      <w:pPr>
        <w:tabs>
          <w:tab w:val="left" w:pos="1790"/>
        </w:tabs>
        <w:jc w:val="right"/>
        <w:rPr>
          <w:rFonts w:ascii="Times New Roman" w:hAnsi="Times New Roman"/>
          <w:sz w:val="26"/>
          <w:szCs w:val="26"/>
          <w:lang w:val="bg-BG"/>
        </w:rPr>
      </w:pPr>
      <w:r>
        <w:rPr>
          <w:rFonts w:ascii="Times New Roman" w:hAnsi="Times New Roman"/>
          <w:noProof/>
          <w:sz w:val="28"/>
          <w:szCs w:val="28"/>
          <w:lang w:val="bg-BG"/>
        </w:rPr>
        <w:pict w14:anchorId="3D359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E3011F8E-3DBF-4FC8-8F35-6D61DC7DDC1F}" provid="{00000000-0000-0000-0000-000000000000}" issignatureline="t"/>
          </v:shape>
        </w:pict>
      </w:r>
    </w:p>
    <w:p w14:paraId="1741C75A" w14:textId="77777777" w:rsidR="00E65BA3" w:rsidRPr="00921987" w:rsidRDefault="00E65BA3" w:rsidP="00422E35">
      <w:pPr>
        <w:spacing w:before="120" w:line="288" w:lineRule="auto"/>
        <w:ind w:firstLine="1134"/>
        <w:jc w:val="both"/>
        <w:rPr>
          <w:rFonts w:ascii="Times New Roman" w:hAnsi="Times New Roman"/>
          <w:lang w:val="bg-BG"/>
        </w:rPr>
      </w:pPr>
    </w:p>
    <w:sectPr w:rsidR="00E65BA3" w:rsidRPr="00921987"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6905" w14:textId="77777777" w:rsidR="00A5419A" w:rsidRDefault="00A5419A">
      <w:r>
        <w:separator/>
      </w:r>
    </w:p>
  </w:endnote>
  <w:endnote w:type="continuationSeparator" w:id="0">
    <w:p w14:paraId="3045134D" w14:textId="77777777" w:rsidR="00A5419A" w:rsidRDefault="00A5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Segoe UI"/>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NewSaturionModernCyr">
    <w:altName w:val="Cambria"/>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037014EB"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691E2C" w:rsidRPr="00691E2C">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758832D7"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691E2C" w:rsidRPr="00691E2C">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281B" w14:textId="77777777" w:rsidR="00A5419A" w:rsidRDefault="00A5419A">
      <w:r>
        <w:separator/>
      </w:r>
    </w:p>
  </w:footnote>
  <w:footnote w:type="continuationSeparator" w:id="0">
    <w:p w14:paraId="5FE9E681" w14:textId="77777777" w:rsidR="00A5419A" w:rsidRDefault="00A5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50D9F"/>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32B67"/>
    <w:rsid w:val="00147990"/>
    <w:rsid w:val="001902BA"/>
    <w:rsid w:val="001A5C9C"/>
    <w:rsid w:val="001B049E"/>
    <w:rsid w:val="001B21EF"/>
    <w:rsid w:val="001B311D"/>
    <w:rsid w:val="001C1AA5"/>
    <w:rsid w:val="001C27B2"/>
    <w:rsid w:val="001C765C"/>
    <w:rsid w:val="001C7C50"/>
    <w:rsid w:val="001F0C5E"/>
    <w:rsid w:val="001F109F"/>
    <w:rsid w:val="00200362"/>
    <w:rsid w:val="00216BB5"/>
    <w:rsid w:val="00224F7F"/>
    <w:rsid w:val="00234F17"/>
    <w:rsid w:val="002469B9"/>
    <w:rsid w:val="00251D6E"/>
    <w:rsid w:val="002553AB"/>
    <w:rsid w:val="00255B7D"/>
    <w:rsid w:val="00263307"/>
    <w:rsid w:val="002743E4"/>
    <w:rsid w:val="002A61A1"/>
    <w:rsid w:val="002C0227"/>
    <w:rsid w:val="002C08C4"/>
    <w:rsid w:val="002C0EBF"/>
    <w:rsid w:val="002C6AFA"/>
    <w:rsid w:val="002D76CB"/>
    <w:rsid w:val="002F1B08"/>
    <w:rsid w:val="002F675A"/>
    <w:rsid w:val="003160E8"/>
    <w:rsid w:val="00322981"/>
    <w:rsid w:val="00327C7B"/>
    <w:rsid w:val="00343833"/>
    <w:rsid w:val="00355E5E"/>
    <w:rsid w:val="00357B65"/>
    <w:rsid w:val="00361393"/>
    <w:rsid w:val="003A24FF"/>
    <w:rsid w:val="003A2A0D"/>
    <w:rsid w:val="003B62B1"/>
    <w:rsid w:val="003C02E9"/>
    <w:rsid w:val="003C496A"/>
    <w:rsid w:val="003D35A2"/>
    <w:rsid w:val="003D6EE4"/>
    <w:rsid w:val="003E7829"/>
    <w:rsid w:val="004016C8"/>
    <w:rsid w:val="00406D09"/>
    <w:rsid w:val="00410B81"/>
    <w:rsid w:val="00416062"/>
    <w:rsid w:val="00422E35"/>
    <w:rsid w:val="0043009C"/>
    <w:rsid w:val="00432DE5"/>
    <w:rsid w:val="004405FE"/>
    <w:rsid w:val="00446581"/>
    <w:rsid w:val="00485B7E"/>
    <w:rsid w:val="00487D19"/>
    <w:rsid w:val="00490227"/>
    <w:rsid w:val="004945E7"/>
    <w:rsid w:val="004B5B01"/>
    <w:rsid w:val="004B6C70"/>
    <w:rsid w:val="004C4EC3"/>
    <w:rsid w:val="004C5C6C"/>
    <w:rsid w:val="004C6C33"/>
    <w:rsid w:val="005033E0"/>
    <w:rsid w:val="005075C6"/>
    <w:rsid w:val="0052153C"/>
    <w:rsid w:val="00524A62"/>
    <w:rsid w:val="005374EB"/>
    <w:rsid w:val="00543CA4"/>
    <w:rsid w:val="00552093"/>
    <w:rsid w:val="00557EA5"/>
    <w:rsid w:val="00565013"/>
    <w:rsid w:val="00590DC5"/>
    <w:rsid w:val="005E2FAA"/>
    <w:rsid w:val="00601E7F"/>
    <w:rsid w:val="006112DA"/>
    <w:rsid w:val="006126B0"/>
    <w:rsid w:val="00621A29"/>
    <w:rsid w:val="006374F1"/>
    <w:rsid w:val="00680C33"/>
    <w:rsid w:val="00683CAC"/>
    <w:rsid w:val="00691E2C"/>
    <w:rsid w:val="006D149C"/>
    <w:rsid w:val="006E20E3"/>
    <w:rsid w:val="006F4CBD"/>
    <w:rsid w:val="007006FE"/>
    <w:rsid w:val="0071097D"/>
    <w:rsid w:val="007216A1"/>
    <w:rsid w:val="00775FF6"/>
    <w:rsid w:val="00791C0B"/>
    <w:rsid w:val="007D0119"/>
    <w:rsid w:val="007E5BD8"/>
    <w:rsid w:val="007F2214"/>
    <w:rsid w:val="007F3120"/>
    <w:rsid w:val="00801C3F"/>
    <w:rsid w:val="00804255"/>
    <w:rsid w:val="0083405F"/>
    <w:rsid w:val="008464CC"/>
    <w:rsid w:val="0087096A"/>
    <w:rsid w:val="00881B55"/>
    <w:rsid w:val="008A019C"/>
    <w:rsid w:val="008A0F64"/>
    <w:rsid w:val="008B02D8"/>
    <w:rsid w:val="008C11C0"/>
    <w:rsid w:val="008E1559"/>
    <w:rsid w:val="008F293A"/>
    <w:rsid w:val="008F7AE5"/>
    <w:rsid w:val="00904DD3"/>
    <w:rsid w:val="00905B61"/>
    <w:rsid w:val="00916222"/>
    <w:rsid w:val="00921987"/>
    <w:rsid w:val="00932CF8"/>
    <w:rsid w:val="0096271D"/>
    <w:rsid w:val="00972959"/>
    <w:rsid w:val="00987107"/>
    <w:rsid w:val="0099021C"/>
    <w:rsid w:val="00990366"/>
    <w:rsid w:val="009B76A3"/>
    <w:rsid w:val="009D7025"/>
    <w:rsid w:val="00A018E4"/>
    <w:rsid w:val="00A02A74"/>
    <w:rsid w:val="00A25CC8"/>
    <w:rsid w:val="00A27685"/>
    <w:rsid w:val="00A31E3E"/>
    <w:rsid w:val="00A34F2C"/>
    <w:rsid w:val="00A52257"/>
    <w:rsid w:val="00A5419A"/>
    <w:rsid w:val="00A57A93"/>
    <w:rsid w:val="00A6158C"/>
    <w:rsid w:val="00A83BB6"/>
    <w:rsid w:val="00A93DD8"/>
    <w:rsid w:val="00A94298"/>
    <w:rsid w:val="00A97573"/>
    <w:rsid w:val="00AA1688"/>
    <w:rsid w:val="00AB2D4B"/>
    <w:rsid w:val="00AD3749"/>
    <w:rsid w:val="00AF2C6E"/>
    <w:rsid w:val="00B03B72"/>
    <w:rsid w:val="00B23068"/>
    <w:rsid w:val="00B37285"/>
    <w:rsid w:val="00B43F4A"/>
    <w:rsid w:val="00B5491F"/>
    <w:rsid w:val="00B61E22"/>
    <w:rsid w:val="00B77163"/>
    <w:rsid w:val="00BA4309"/>
    <w:rsid w:val="00BB0346"/>
    <w:rsid w:val="00BB0613"/>
    <w:rsid w:val="00BB0DFF"/>
    <w:rsid w:val="00BB1768"/>
    <w:rsid w:val="00BB253E"/>
    <w:rsid w:val="00BB4014"/>
    <w:rsid w:val="00BC287C"/>
    <w:rsid w:val="00BE4C60"/>
    <w:rsid w:val="00C05E74"/>
    <w:rsid w:val="00C06601"/>
    <w:rsid w:val="00C11F14"/>
    <w:rsid w:val="00C213CB"/>
    <w:rsid w:val="00C321AC"/>
    <w:rsid w:val="00C459B8"/>
    <w:rsid w:val="00C5560E"/>
    <w:rsid w:val="00C65583"/>
    <w:rsid w:val="00C73951"/>
    <w:rsid w:val="00CA3F1E"/>
    <w:rsid w:val="00CB73D9"/>
    <w:rsid w:val="00CC4133"/>
    <w:rsid w:val="00CC4E18"/>
    <w:rsid w:val="00CE3631"/>
    <w:rsid w:val="00CF4BBF"/>
    <w:rsid w:val="00CF73BF"/>
    <w:rsid w:val="00D013AB"/>
    <w:rsid w:val="00D1528B"/>
    <w:rsid w:val="00D2673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37F41"/>
    <w:rsid w:val="00E522CC"/>
    <w:rsid w:val="00E522E9"/>
    <w:rsid w:val="00E5592E"/>
    <w:rsid w:val="00E65BA3"/>
    <w:rsid w:val="00E717E1"/>
    <w:rsid w:val="00EB0E3F"/>
    <w:rsid w:val="00EC40B3"/>
    <w:rsid w:val="00ED238C"/>
    <w:rsid w:val="00ED2B8B"/>
    <w:rsid w:val="00ED4BAB"/>
    <w:rsid w:val="00EE492F"/>
    <w:rsid w:val="00EE7D4F"/>
    <w:rsid w:val="00F0087E"/>
    <w:rsid w:val="00F141DB"/>
    <w:rsid w:val="00F24630"/>
    <w:rsid w:val="00F257BE"/>
    <w:rsid w:val="00F41459"/>
    <w:rsid w:val="00F44114"/>
    <w:rsid w:val="00F56751"/>
    <w:rsid w:val="00F90BFF"/>
    <w:rsid w:val="00F9263A"/>
    <w:rsid w:val="00FA009F"/>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FDE3-B4E8-4AA6-9774-4FE68BA0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4207</Words>
  <Characters>25614</Characters>
  <Application>Microsoft Office Word</Application>
  <DocSecurity>0</DocSecurity>
  <Lines>213</Lines>
  <Paragraphs>59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2026-05-07T11:38:00Z</cp:lastPrinted>
  <dcterms:created xsi:type="dcterms:W3CDTF">2026-05-08T09:23:00Z</dcterms:created>
  <dcterms:modified xsi:type="dcterms:W3CDTF">2026-05-08T09:23:00Z</dcterms:modified>
</cp:coreProperties>
</file>