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lineRule="auto" w:line="264" w:before="0" w:after="0"/>
        <w:jc w:val="center"/>
        <w:outlineLvl w:val="2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cs="Times New Roman" w:ascii="Times New Roman" w:hAnsi="Times New Roman"/>
          <w:sz w:val="24"/>
          <w:szCs w:val="24"/>
          <w:lang w:val="bg-BG"/>
        </w:rPr>
        <w:t xml:space="preserve">СПРАВКА ПО ЧЛ. 26, АЛ. 5 ОТ ЗАКОНА ЗА НОРМАТИВНИТЕ АКТОВЕ ЗА ОТРАЗЯВАНЕ НА СТАНОВИЩАТА, </w:t>
      </w:r>
    </w:p>
    <w:p>
      <w:pPr>
        <w:pStyle w:val="Normal"/>
        <w:numPr>
          <w:ilvl w:val="0"/>
          <w:numId w:val="0"/>
        </w:numPr>
        <w:spacing w:lineRule="auto" w:line="264" w:before="0" w:after="0"/>
        <w:jc w:val="center"/>
        <w:outlineLvl w:val="2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cs="Times New Roman" w:ascii="Times New Roman" w:hAnsi="Times New Roman"/>
          <w:sz w:val="24"/>
          <w:szCs w:val="24"/>
          <w:lang w:val="bg-BG"/>
        </w:rPr>
        <w:t>ПОЛУЧЕНИ ПРИ ОБЩЕСТВЕНАТА КОНСУЛТАЦИЯ ПО ПРОЕКТ НА НАРЕДБА ЗА ПРИДОБИВАНЕ НА КВАЛИФИКАЦИЯ ПО ПРОФЕСИЯТА „СЕРЖАНТ (СТАРШИНА ЗА ВОЕННОМОРСКИТЕ СИЛИ) - КОМАНДИР“</w:t>
      </w:r>
    </w:p>
    <w:p>
      <w:pPr>
        <w:pStyle w:val="Normal"/>
        <w:numPr>
          <w:ilvl w:val="0"/>
          <w:numId w:val="0"/>
        </w:numPr>
        <w:spacing w:lineRule="auto" w:line="264" w:before="0" w:after="0"/>
        <w:jc w:val="center"/>
        <w:outlineLvl w:val="2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cs="Times New Roman" w:ascii="Times New Roman" w:hAnsi="Times New Roman"/>
          <w:sz w:val="24"/>
          <w:szCs w:val="24"/>
          <w:lang w:val="bg-BG"/>
        </w:rPr>
      </w:r>
    </w:p>
    <w:tbl>
      <w:tblPr>
        <w:tblStyle w:val="TableGrid"/>
        <w:tblW w:w="14658" w:type="dxa"/>
        <w:jc w:val="left"/>
        <w:tblInd w:w="0" w:type="dxa"/>
        <w:tblCellMar>
          <w:top w:w="0" w:type="dxa"/>
          <w:left w:w="57" w:type="dxa"/>
          <w:bottom w:w="0" w:type="dxa"/>
          <w:right w:w="57" w:type="dxa"/>
        </w:tblCellMar>
        <w:tblLook w:firstRow="1" w:noVBand="1" w:lastRow="0" w:firstColumn="1" w:lastColumn="0" w:noHBand="0" w:val="04a0"/>
      </w:tblPr>
      <w:tblGrid>
        <w:gridCol w:w="1613"/>
        <w:gridCol w:w="6659"/>
        <w:gridCol w:w="2067"/>
        <w:gridCol w:w="4318"/>
      </w:tblGrid>
      <w:tr>
        <w:trPr>
          <w:tblHeader w:val="true"/>
        </w:trPr>
        <w:tc>
          <w:tcPr>
            <w:tcW w:w="1613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  <w:t>Име/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  <w:t>наименование</w:t>
            </w:r>
          </w:p>
        </w:tc>
        <w:tc>
          <w:tcPr>
            <w:tcW w:w="6659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  <w:t>Предложения</w:t>
            </w:r>
          </w:p>
        </w:tc>
        <w:tc>
          <w:tcPr>
            <w:tcW w:w="2067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  <w:t>Приемане/не приемане на предложението</w:t>
            </w:r>
          </w:p>
        </w:tc>
        <w:tc>
          <w:tcPr>
            <w:tcW w:w="4318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  <w:t>Мотиви</w:t>
            </w:r>
          </w:p>
        </w:tc>
      </w:tr>
      <w:tr>
        <w:trPr/>
        <w:tc>
          <w:tcPr>
            <w:tcW w:w="161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  <w:t>03 ноември 2021 г. 01:17:46 часа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ivanmihalev</w:t>
            </w:r>
          </w:p>
        </w:tc>
        <w:tc>
          <w:tcPr>
            <w:tcW w:w="665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bg-BG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bg-BG"/>
              </w:rPr>
              <w:t xml:space="preserve">Коментар 1 </w:t>
            </w:r>
          </w:p>
          <w:p>
            <w:pPr>
              <w:pStyle w:val="Normal"/>
              <w:spacing w:lineRule="auto" w:line="240" w:before="0" w:after="0"/>
              <w:ind w:firstLine="571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 т. 2. Описание на професията, подточка 2.1. Трудови дейности, отговорности, ..., се посочва, че "Основните отговорности на сержанта (старшина за Военноморските сили) командир са: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left="0" w:hanging="18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управлява и командва малки военни формирования (група, разчет, екипаж, отделение, бойна част на кораб, секция на кораб и други формирования до взвод и приравнени включително) в мирно и военно време, като оценява обстановката, взема решения, отдава заповеди и разпореждания, ръководи бойните тактически действия на формированието;..."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 НАТО и МО/БА се използва словосъчетанието "командване и управление". В тази връзка, е удачно вместо "- управлява и командва...", да се изпише "- командва и управлява".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Съгласно разпоредбите на § 1., т. 10, от Допълнителните разпоредби на ЗОВСРБ, ""Военно формирование" е взвод, рота, батарея, батальон, дивизион, ескадрила, полк, бригада, база или друга структура от въоръжените сили, която е организационно и икономически обособена.". В тази връзка, "...(група, разчет, екипаж, отделение, бойна част на кораб, секция на кораб и други формирования до взвод и приравнени включително)...", не съответства на посочената в Закона дефиниция за военно формирование, още повече "малко".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Да отпадне "малки военни формирования (", а скобата ")" да се трансформира в запетайка ",".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Съгласно разпоредбите на чл. 55, ал. 4, от ЗОВСРБ, "Командирите и началниците във въоръжените сили при осъществяване на правомощията си издават ЗАПОВЕДИ.". В тази връзка, текстът "отдава заповеди и разпореждания", да се промени на "отдава заповеди".</w:t>
            </w:r>
          </w:p>
        </w:tc>
        <w:tc>
          <w:tcPr>
            <w:tcW w:w="20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  <w:t>Приема се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  <w:t>Приема се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  <w:t>Не се приема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</w:tc>
        <w:tc>
          <w:tcPr>
            <w:tcW w:w="431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bg-BG" w:eastAsia="bg-BG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bg-BG" w:eastAsia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bg-BG" w:eastAsia="bg-BG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bg-BG" w:eastAsia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bg-BG" w:eastAsia="bg-BG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bg-BG" w:eastAsia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bg-BG" w:eastAsia="bg-BG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bg-BG" w:eastAsia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bg-BG" w:eastAsia="bg-BG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bg-BG" w:eastAsia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bg-BG" w:eastAsia="bg-BG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bg-BG" w:eastAsia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bg-BG" w:eastAsia="bg-BG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bg-BG" w:eastAsia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bg-BG" w:eastAsia="bg-BG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bg-BG" w:eastAsia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bg-BG" w:eastAsia="bg-BG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bg-BG" w:eastAsia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bg-BG" w:eastAsia="bg-BG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bg-BG" w:eastAsia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bg-BG" w:eastAsia="bg-BG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bg-BG" w:eastAsia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bg-BG" w:eastAsia="bg-BG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bg-BG" w:eastAsia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bg-BG" w:eastAsia="bg-BG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bg-BG" w:eastAsia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bg-BG" w:eastAsia="bg-BG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bg-BG" w:eastAsia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bg-BG" w:eastAsia="bg-BG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bg-BG" w:eastAsia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bg-BG" w:eastAsia="bg-BG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bg-BG" w:eastAsia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bg-BG" w:eastAsia="bg-BG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bg-BG" w:eastAsia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bg-BG" w:eastAsia="bg-BG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bg-BG" w:eastAsia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bg-BG" w:eastAsia="bg-BG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bg-BG" w:eastAsia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bg-BG" w:eastAsia="bg-BG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bg-BG" w:eastAsia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bg-BG" w:eastAsia="bg-BG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bg-BG" w:eastAsia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bg-BG" w:eastAsia="bg-BG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bg-BG" w:eastAsia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bg-BG" w:eastAsia="bg-BG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bg-BG" w:eastAsia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bg-BG" w:eastAsia="bg-BG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bg-BG" w:eastAsia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bg-BG" w:eastAsia="bg-BG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bg-BG" w:eastAsia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bg-BG" w:eastAsia="bg-BG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bg-BG" w:eastAsia="bg-BG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bg-BG" w:eastAsia="bg-BG"/>
              </w:rPr>
              <w:t>Текстът освен с разпоредбата на ЗОВСРБ е съобразени и с предвиденото в чл. 8, ал. 3 от Устава за войсковата служба на ВС.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bg-BG" w:eastAsia="bg-BG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bg-BG" w:eastAsia="bg-BG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bg-BG" w:eastAsia="bg-BG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bg-BG" w:eastAsia="bg-BG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bg-BG" w:eastAsia="bg-BG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bg-BG" w:eastAsia="bg-BG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bg-BG" w:eastAsia="bg-BG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bg-BG" w:eastAsia="bg-BG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bg-BG" w:eastAsia="bg-BG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bg-BG" w:eastAsia="bg-BG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bg-BG" w:eastAsia="bg-BG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bg-BG" w:eastAsia="bg-BG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bg-BG" w:eastAsia="bg-BG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bg-BG" w:eastAsia="bg-BG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bg-BG" w:eastAsia="bg-BG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bg-BG" w:eastAsia="bg-BG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bg-BG" w:eastAsia="bg-BG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bg-BG" w:eastAsia="bg-BG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bg-BG" w:eastAsia="bg-BG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bg-BG" w:eastAsia="bg-BG"/>
              </w:rPr>
            </w:r>
          </w:p>
        </w:tc>
      </w:tr>
      <w:tr>
        <w:trPr/>
        <w:tc>
          <w:tcPr>
            <w:tcW w:w="1613" w:type="dxa"/>
            <w:tcBorders/>
            <w:shd w:color="auto" w:fill="auto" w:val="clear"/>
          </w:tcPr>
          <w:p>
            <w:pPr>
              <w:pStyle w:val="Normal"/>
              <w:shd w:val="clear" w:color="auto" w:fill="FFFFFF"/>
              <w:spacing w:lineRule="auto" w:line="240" w:before="0" w:after="9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03 ноември 2021 г. 01:18:17 ч.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ivanmihalev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</w:tc>
        <w:tc>
          <w:tcPr>
            <w:tcW w:w="6659" w:type="dxa"/>
            <w:tcBorders/>
            <w:shd w:color="auto" w:fill="auto" w:val="clear"/>
          </w:tcPr>
          <w:p>
            <w:pPr>
              <w:pStyle w:val="Normal"/>
              <w:spacing w:lineRule="atLeast" w:line="210" w:before="0" w:after="120"/>
              <w:rPr>
                <w:rFonts w:ascii="Times New Roman" w:hAnsi="Times New Roman" w:eastAsia="Times New Roman" w:cs="Times New Roman"/>
                <w:sz w:val="24"/>
                <w:szCs w:val="24"/>
                <w:lang w:val="bg-BG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bg-BG"/>
              </w:rPr>
              <w:t xml:space="preserve">Коментар 2 </w:t>
            </w:r>
          </w:p>
          <w:p>
            <w:pPr>
              <w:pStyle w:val="Normal"/>
              <w:spacing w:lineRule="atLeast" w:line="210" w:before="0" w:after="1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Пак в същата подточка 2.1. се посочва, че "Сержантът (старшината за Военноморските сили) - командир използва: въоръжение, военна техника, бойни припаси, взривни материали и пиротехнически средства, материали и </w:t>
            </w:r>
            <w:r>
              <w:rPr>
                <w:rFonts w:eastAsia="Times New Roman" w:cs="Times New Roman" w:ascii="Times New Roman" w:hAnsi="Times New Roman"/>
                <w:i/>
                <w:iCs/>
                <w:sz w:val="24"/>
                <w:szCs w:val="24"/>
              </w:rPr>
              <w:t>консумативи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, запасни части и принадлежности за ремонт (стационарни и подвижни), техническа и административна документация, колективни и индивидуални средства за защита, униформено облекло, различна апаратура, техника, пособия, </w:t>
            </w:r>
            <w:r>
              <w:rPr>
                <w:rFonts w:eastAsia="Times New Roman" w:cs="Times New Roman" w:ascii="Times New Roman" w:hAnsi="Times New Roman"/>
                <w:i/>
                <w:iCs/>
                <w:sz w:val="24"/>
                <w:szCs w:val="24"/>
              </w:rPr>
              <w:t>консумативи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 и др.". В този текст, думата "консумативи" се среща два пъти. Предлагам текстът ", консумативи и др.", да стане "и др.".</w:t>
            </w:r>
          </w:p>
          <w:p>
            <w:pPr>
              <w:pStyle w:val="Normal"/>
              <w:spacing w:lineRule="atLeast" w:line="210" w:before="0" w:after="1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 последния абзац на подточка 2.1. се посочва, че "Нормалната продължителност на служебното време на военнослужещия – сержант (старшина за Военноморските сили) - командир е 8 часа дневно и 40 часа седмично, при 5-дневна работна седмица. Задължението за служебно време и за разположение на военнослужещия – сержант (старшина за Военноморските сили) – командир е в съответствие със Закона за отбраната и въоръжените сили на Република България.".</w:t>
            </w:r>
          </w:p>
          <w:p>
            <w:pPr>
              <w:pStyle w:val="Normal"/>
              <w:spacing w:lineRule="atLeast" w:line="210" w:before="0" w:after="1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Този въпрос вече е изяснен в Чл. 194.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 (1) от ЗОВСРБ, поради което следва да отпадне целия абзац. По логиката която се залага в настоящата наредба, министърът на отбраната следва да издаде наредби, в които да определи нормалната продължителност на служебното време и задължението за разположение за всички останали категории военнослужещи.</w:t>
            </w:r>
          </w:p>
          <w:p>
            <w:pPr>
              <w:pStyle w:val="Normal"/>
              <w:spacing w:lineRule="atLeast" w:line="210" w:before="0" w:after="1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Другият вариант е, текстът да придобие вида "</w:t>
            </w:r>
            <w:bookmarkStart w:id="0" w:name="__DdeLink__1274_2122443548"/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Нормалната продължителност на служебното време и задължението за разположение на военнослужещия – сержант (старшина за Военноморските сили) – командир се определя със Закона за отбраната и въоръжените сили на Република България."</w:t>
            </w:r>
            <w:bookmarkEnd w:id="0"/>
          </w:p>
        </w:tc>
        <w:tc>
          <w:tcPr>
            <w:tcW w:w="20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  <w:t>Приема се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  <w:t>Приема се вторият вариант</w:t>
            </w:r>
          </w:p>
        </w:tc>
        <w:tc>
          <w:tcPr>
            <w:tcW w:w="431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bg-BG" w:eastAsia="bg-BG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bg-BG" w:eastAsia="bg-BG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bg-BG" w:eastAsia="bg-BG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bg-BG" w:eastAsia="bg-BG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bg-BG" w:eastAsia="bg-BG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bg-BG" w:eastAsia="bg-BG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bg-BG" w:eastAsia="bg-BG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bg-BG" w:eastAsia="bg-BG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bg-BG" w:eastAsia="bg-BG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bg-BG" w:eastAsia="bg-BG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bg-BG" w:eastAsia="bg-BG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bg-BG" w:eastAsia="bg-BG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bg-BG" w:eastAsia="bg-BG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bg-BG" w:eastAsia="bg-BG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bg-BG" w:eastAsia="bg-BG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bg-BG" w:eastAsia="bg-BG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bg-BG" w:eastAsia="bg-BG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bg-BG" w:eastAsia="bg-BG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bg-BG" w:eastAsia="bg-BG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bg-BG" w:eastAsia="bg-BG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bg-BG" w:eastAsia="bg-BG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bg-BG" w:eastAsia="bg-BG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bg-BG" w:eastAsia="bg-BG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bg-BG" w:eastAsia="bg-BG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bg-BG" w:eastAsia="bg-BG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bg-BG" w:eastAsia="bg-BG"/>
              </w:rPr>
            </w:r>
          </w:p>
          <w:p>
            <w:pPr>
              <w:pStyle w:val="Normal"/>
              <w:spacing w:lineRule="atLeast" w:line="210" w:before="0" w:after="12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bg-BG" w:eastAsia="bg-BG"/>
              </w:rPr>
              <w:t>Текстът е прецизиран като е предвидено, че нормалната продължителност на служебното време и задължението за разположение на военнослужещия – сержант (старшина за Военноморските сили) – командир се определят при условията и по реда на  Закона за отбраната и въоръжените сили на Република България и подзаконовите актове по прилагането му.</w:t>
            </w:r>
          </w:p>
        </w:tc>
      </w:tr>
      <w:tr>
        <w:trPr/>
        <w:tc>
          <w:tcPr>
            <w:tcW w:w="1613" w:type="dxa"/>
            <w:tcBorders/>
            <w:shd w:color="auto" w:fill="auto" w:val="clear"/>
          </w:tcPr>
          <w:p>
            <w:pPr>
              <w:pStyle w:val="Normal"/>
              <w:shd w:val="clear" w:color="auto" w:fill="FFFFFF"/>
              <w:spacing w:lineRule="auto" w:line="240" w:before="0" w:after="9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03 ноември 2021 г. 01:20:33 ч.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ivanmihalev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</w:tc>
        <w:tc>
          <w:tcPr>
            <w:tcW w:w="6659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Коментар3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Как точно ще се реализира ЕРУ 6, след като няма изисквания за ниво поне 2-2-2-2 съгласно S6001, и не се извършва езиково обучение?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ЕРУ 20. Тактико-специална подготовка на формированията за комуникационно-информационна поддръжка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20.3. РУ Изгражда радио, радиорелейна, тропосферна, сателитна, проводна и оптична свръзка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 момента са предложени за обществено обсъждане "ПРАВИЛА за използване на радиочестотен спектър за радиосъоръжения от любителска радиослужба". В този документ се използва терминът "радиовръзка", а не "радиосвръзка". Поначало, думата "свръзка" е русизъм. Предвид приетата и в други нормативни актове езикова норма, предлагам вместо "свръзка", да се използват термините "връзка" или "комуникации".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Оптичната връзка е тип проводна връзка, поради което е удачно "оптична" да отпадне, а да се добави "визуална".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23.3. РУ / 26.3. РУ / 29.3. РУ / 32.3. РУ - "Познава организацията на свръзките във ВМС на Република България и НАТО"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"Свръзките" да стане "комуникациите".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23.5. РУ П</w:t>
            </w:r>
            <w:r>
              <w:rPr>
                <w:rFonts w:eastAsia="Times New Roman" w:cs="Times New Roman" w:ascii="Times New Roman" w:hAnsi="Times New Roman"/>
                <w:i/>
                <w:iCs/>
                <w:sz w:val="24"/>
                <w:szCs w:val="24"/>
              </w:rPr>
              <w:t>ознава преносните и стационарни средства за гасене на пожар на кораба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4"/>
                <w:szCs w:val="24"/>
              </w:rPr>
              <w:t>"преносните" да стане "преносимите"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24.2. РУ Познава свързочната материалната част на въоръжение във ВМС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"свързочната материалната част" да стане "комуникационната материална част" или "комуникационната и информационната материални части".</w:t>
            </w:r>
          </w:p>
        </w:tc>
        <w:tc>
          <w:tcPr>
            <w:tcW w:w="20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  <w:t xml:space="preserve">Не се приема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  <w:t>Частично се приема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  <w:t>Приема се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  <w:t>Прием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a</w:t>
            </w: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  <w:t xml:space="preserve"> се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431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bg-BG" w:eastAsia="bg-BG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bg-BG" w:eastAsia="bg-BG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bg-BG" w:eastAsia="bg-BG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bg-BG" w:eastAsia="bg-BG"/>
              </w:rPr>
              <w:t xml:space="preserve"> 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bg-BG" w:eastAsia="bg-BG"/>
              </w:rPr>
              <w:t>ЕРУ 6 се реализира, тъй като в учебния план са заложени през втория срок на обучение 120 (сто и двадесет) часа английски език, което на напълно  достатъчно.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bg-BG" w:eastAsia="bg-BG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bg-BG" w:eastAsia="bg-BG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bg-BG" w:eastAsia="bg-BG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bg-BG" w:eastAsia="bg-BG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bg-BG" w:eastAsia="bg-BG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bg-BG" w:eastAsia="bg-BG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bg-BG" w:eastAsia="bg-BG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bg-BG" w:eastAsia="bg-BG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bg-BG" w:eastAsia="bg-BG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bg-BG" w:eastAsia="bg-BG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bg-BG" w:eastAsia="bg-BG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bg-BG" w:eastAsia="bg-BG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bg-BG" w:eastAsia="bg-BG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bg-BG" w:eastAsia="bg-BG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bg-BG" w:eastAsia="bg-BG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bg-BG" w:eastAsia="bg-BG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bg-BG" w:eastAsia="bg-BG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bg-BG" w:eastAsia="bg-BG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bg-BG" w:eastAsia="bg-BG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bg-BG" w:eastAsia="bg-BG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bg-BG" w:eastAsia="bg-BG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bg-BG" w:eastAsia="bg-BG"/>
              </w:rPr>
              <w:t xml:space="preserve"> 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bg-BG" w:eastAsia="bg-BG"/>
              </w:rPr>
              <w:t>Приема се използването на термина „комуникации“, но термина „визуална“ не се прилага.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bg-BG" w:eastAsia="bg-BG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bg-BG" w:eastAsia="bg-BG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bg-BG" w:eastAsia="bg-BG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bg-BG" w:eastAsia="bg-BG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bg-BG" w:eastAsia="bg-BG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bg-BG" w:eastAsia="bg-BG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bg-BG" w:eastAsia="bg-BG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bg-BG" w:eastAsia="bg-BG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bg-BG" w:eastAsia="bg-BG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bg-BG" w:eastAsia="bg-BG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bg-BG" w:eastAsia="bg-BG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bg-BG" w:eastAsia="bg-BG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bg-BG" w:eastAsia="bg-BG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bg-BG" w:eastAsia="bg-BG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bg-BG" w:eastAsia="bg-BG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bg-BG" w:eastAsia="bg-BG"/>
              </w:rPr>
            </w:r>
          </w:p>
        </w:tc>
      </w:tr>
      <w:tr>
        <w:trPr/>
        <w:tc>
          <w:tcPr>
            <w:tcW w:w="1613" w:type="dxa"/>
            <w:tcBorders/>
            <w:shd w:color="auto" w:fill="auto" w:val="clear"/>
          </w:tcPr>
          <w:p>
            <w:pPr>
              <w:pStyle w:val="Normal"/>
              <w:shd w:val="clear" w:color="auto" w:fill="FFFFFF"/>
              <w:spacing w:lineRule="auto" w:line="240" w:before="0" w:after="9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03 ноември 2021 г. 01:23:09 ч.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ivanmihalev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</w:tc>
        <w:tc>
          <w:tcPr>
            <w:tcW w:w="6659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3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Коментар4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3.2. Описание на единиците резултати от учене (ЕРУ)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ЕРУ 1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Резултат от учене 1.3: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Компетентности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Анализира рисковете за възникване на пожар или аварийна ситуация, прави предложения за актуализиране на вътрешнофирмените правила за пожарна и аварийна безопасност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Участва в създаването на организация за овладяването на възникнал пожар и/или авария, в съответствие с установените вътрешнофирмени правила за пожарна и аварийна безопасност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Използва се терминът "вътрешнофирмени". Какво се има предвид, при положение, че Наредбата касае военнослужещи и военни формирования?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ЕРУ 4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Резултат от учене 4.1: 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Обработва информация и съдържание с информационни и комуникационни технологии (ИКТ)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Знания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Думата "интернет" има две основни значения - първото е технически термин и най-общо означава съвкупност от взаимно свързани компютърни мрежи, второто се използва като име на възникналата на базата на ARPANET глобална компютърна мрежа - Интернет/Internet. Във втория случай думата се изписва с главна буква, защото се явява съществително собствено име. В тази връзка, когато думата "интернет" се използва в настоящия документ за обозначаване на глобалната компютърна мрежа, същата следва да се изписва с главна буква - Интернет.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Резултат от учене 4.4: 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Осигурява защита на електронната среда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Умения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ind w:left="0" w:hanging="18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Идентифицира подвеждащи и/или злонамерени съобщения и интернет страници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Може би се има предвид уебстраници? Изразът "интернет страници" е по-скоро сленг, отколкото технически термин.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240" w:before="0" w:after="0"/>
              <w:ind w:left="0" w:hanging="18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Разпознава файлове, представляващи зловреден софтуер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Как точно го прави, след като дори най-добрите антивирусни софтуери се затрудняват в това? - да отпадне.</w:t>
            </w:r>
          </w:p>
        </w:tc>
        <w:tc>
          <w:tcPr>
            <w:tcW w:w="20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  <w:t>Приема се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  <w:t>Не се приема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  <w:t>Приема се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  <w:t>Приема се</w:t>
            </w:r>
          </w:p>
        </w:tc>
        <w:tc>
          <w:tcPr>
            <w:tcW w:w="431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bg-BG" w:eastAsia="bg-BG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bg-BG" w:eastAsia="bg-BG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bg-BG" w:eastAsia="bg-BG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bg-BG" w:eastAsia="bg-BG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bg-BG" w:eastAsia="bg-BG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bg-BG" w:eastAsia="bg-BG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bg-BG" w:eastAsia="bg-BG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bg-BG" w:eastAsia="bg-BG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bg-BG" w:eastAsia="bg-BG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bg-BG" w:eastAsia="bg-BG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bg-BG" w:eastAsia="bg-BG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bg-BG" w:eastAsia="bg-BG"/>
              </w:rPr>
              <w:t>Посочените текстове са прецизирани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bg-BG" w:eastAsia="bg-BG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bg-BG" w:eastAsia="bg-BG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bg-BG" w:eastAsia="bg-BG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bg-BG" w:eastAsia="bg-BG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bg-BG" w:eastAsia="bg-BG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bg-BG" w:eastAsia="bg-BG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bg-BG" w:eastAsia="bg-BG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bg-BG" w:eastAsia="bg-BG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bg-BG" w:eastAsia="bg-BG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bg-BG" w:eastAsia="bg-BG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bg-BG" w:eastAsia="bg-BG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bg-BG" w:eastAsia="bg-BG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bg-BG" w:eastAsia="bg-BG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bg-BG" w:eastAsia="bg-BG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bg-BG" w:eastAsia="bg-BG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bg-BG" w:eastAsia="bg-BG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bg-BG" w:eastAsia="bg-BG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bg-BG" w:eastAsia="bg-BG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bg-BG" w:eastAsia="bg-BG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bg-BG" w:eastAsia="bg-BG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bg-BG" w:eastAsia="bg-BG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bg-BG" w:eastAsia="bg-BG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bg-BG" w:eastAsia="bg-BG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bg-BG" w:eastAsia="bg-BG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bg-BG" w:eastAsia="bg-BG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bg-BG" w:eastAsia="bg-BG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  <w:t>В официалния правописен речник на българския език. С., БАН, Просвета, 2012, с. 306 е описдано, че думата „интернет“ се пише с малка буква.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bg-BG" w:eastAsia="bg-BG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</w:tr>
      <w:tr>
        <w:trPr/>
        <w:tc>
          <w:tcPr>
            <w:tcW w:w="1613" w:type="dxa"/>
            <w:tcBorders/>
            <w:shd w:color="auto" w:fill="auto" w:val="clear"/>
          </w:tcPr>
          <w:p>
            <w:pPr>
              <w:pStyle w:val="Normal"/>
              <w:shd w:val="clear" w:color="auto" w:fill="FFFFFF"/>
              <w:spacing w:lineRule="auto" w:line="240" w:before="0" w:after="9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03 ноември 2021 г. 01:24:20 ч.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ivanmihalev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</w:tc>
        <w:tc>
          <w:tcPr>
            <w:tcW w:w="6659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Коментар5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ЕРУ 6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Резултат от учене 6.3: 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Комуникира успешно на чужд език във връзка с професията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След като не се посочват изисквания за владеене на чужд език, как и кога ще се реализира 6.3? За да бъдат покрити тези изисквания, обучаемият трябва да завърши курса поне с 2-2-2-2.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ЕРУ 8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Резултат от учене 8.7: 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Притежава военно-медицинска подготовка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Знания/ Умения/ Компетентности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Защо не се споменава нищо за огнестрелни рани? Това за което се подготвя военнослужещия, е да използва оръжие във военен конфликт. В една такава ситуация, огнестрелната рана ще бъде най-често срещаната травма, поради което военно-медицинска подготовка за обработка на такива рани ще бъде жизнено важна.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Резултат от учене 8.8: 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Притежава военно-топографска подготовка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Не се споменава нищо за спътникови система за навигация, като GPS, Beidou, ГЛОНАСС и др. Това е пропуск в подготовката на обучаемите, предвид все по-широкото разпространение на тези системи във военното дело.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ЕРУ 9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Наименование на единицата: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 Техничека подготовка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"Техничека" да стане "Техническа".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ЕРУ 19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Резултат от учене 19.3: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 Притежава техническа подготовка по комуникационни и информационни системи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Знания (и Критерии за оценяване:)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ind w:left="0" w:hanging="18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Дефинира принципите за изграждане на радио, радиорелейна, тропосферна, сателитна техника, проводни и оптични кабелни техники и системи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Оптичните кабели са тип проводна линия. Проводник и кабел често се използват като синоними, въпреки, че техническо погледнато има разлика между двата термина. Удачно би било вместо "проводни и оптични кабелни техники и системи", да се използва "кабелни техники и системи" или "Дефинира принципите за изграждане на радио, радиорелейни, тропосферни, сателитни и кабелни техники и системи".</w:t>
            </w:r>
          </w:p>
        </w:tc>
        <w:tc>
          <w:tcPr>
            <w:tcW w:w="20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  <w:t xml:space="preserve">Не се приема </w:t>
            </w:r>
            <w:r>
              <w:rPr>
                <w:rFonts w:cs="Times New Roman" w:ascii="Times New Roman" w:hAnsi="Times New Roman"/>
                <w:color w:val="FFFFFF" w:themeColor="background1"/>
                <w:sz w:val="24"/>
                <w:szCs w:val="24"/>
                <w:lang w:val="bg-BG"/>
              </w:rPr>
              <w:t>се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  <w:t>Не се приема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  <w:t>Не се приема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  <w:t>Приема се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  <w:t>Приема се</w:t>
            </w:r>
          </w:p>
        </w:tc>
        <w:tc>
          <w:tcPr>
            <w:tcW w:w="431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bg-BG" w:eastAsia="bg-BG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bg-BG" w:eastAsia="bg-BG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bg-BG" w:eastAsia="bg-BG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bg-BG" w:eastAsia="bg-BG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bg-BG" w:eastAsia="bg-BG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bg-BG" w:eastAsia="bg-BG"/>
              </w:rPr>
              <w:t>ЕРУ 6.3 се реализира, тъй като в учебния план са заложени през втория срок на обучение 120 (сто и двадесет) часа английски език, което на напълно  достатъчно.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bg-BG" w:eastAsia="bg-BG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bg-BG" w:eastAsia="bg-BG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bg-BG" w:eastAsia="bg-BG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bg-BG" w:eastAsia="bg-BG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bg-BG" w:eastAsia="bg-BG"/>
              </w:rPr>
              <w:t>В учебния план и програма на кадетите, които са съставен</w:t>
            </w: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val="bg-BG" w:eastAsia="bg-BG"/>
              </w:rPr>
              <w:t>и в  зависимост от интересите на обучаемите, потребностите на ВС и в съответствие с изискванията на ЗПОО,  е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bg-BG" w:eastAsia="bg-BG"/>
              </w:rPr>
              <w:t xml:space="preserve"> заложено изучаването на видовете рани. Не е необходимо в ДОС-а това да бъде включено, тъй като съгласно чл. 13а от ЗПОО държавните образователни стандарти по </w:t>
            </w:r>
            <w:r>
              <w:fldChar w:fldCharType="begin"/>
            </w:r>
            <w:r>
              <w:rPr>
                <w:rStyle w:val="InternetLink"/>
                <w:sz w:val="24"/>
                <w:u w:val="none"/>
                <w:szCs w:val="24"/>
                <w:rFonts w:eastAsia="Calibri" w:cs="Times New Roman" w:ascii="Times New Roman" w:hAnsi="Times New Roman"/>
              </w:rPr>
              <w:instrText> HYPERLINK "https://web.apis.bg/p.php?i=2669543&amp;b=0" \l "_blank"</w:instrText>
            </w:r>
            <w:r>
              <w:rPr>
                <w:rStyle w:val="InternetLink"/>
                <w:sz w:val="24"/>
                <w:u w:val="none"/>
                <w:szCs w:val="24"/>
                <w:rFonts w:eastAsia="Calibri" w:cs="Times New Roman" w:ascii="Times New Roman" w:hAnsi="Times New Roman"/>
              </w:rPr>
              <w:fldChar w:fldCharType="separate"/>
            </w:r>
            <w:r>
              <w:rPr>
                <w:rStyle w:val="InternetLink"/>
                <w:rFonts w:eastAsia="Calibri" w:cs="Times New Roman" w:ascii="Times New Roman" w:hAnsi="Times New Roman"/>
                <w:color w:val="auto"/>
                <w:sz w:val="24"/>
                <w:szCs w:val="24"/>
                <w:u w:val="none"/>
                <w:lang w:val="bg-BG" w:eastAsia="bg-BG"/>
              </w:rPr>
              <w:t>чл. 22, ал. 2, т. 6 от Закона за предучилищното и училищното образование</w:t>
            </w:r>
            <w:r>
              <w:rPr>
                <w:rStyle w:val="InternetLink"/>
                <w:sz w:val="24"/>
                <w:u w:val="none"/>
                <w:szCs w:val="24"/>
                <w:rFonts w:eastAsia="Calibri" w:cs="Times New Roman" w:ascii="Times New Roman" w:hAnsi="Times New Roman"/>
              </w:rPr>
              <w:fldChar w:fldCharType="end"/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bg-BG" w:eastAsia="bg-BG"/>
              </w:rPr>
              <w:t>  определят: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изисквания към кандидатите; описание на професията; единици резултати от учене; изисквания към материалната база;. изисквания към обучаващите</w:t>
            </w:r>
            <w:r>
              <w:rPr>
                <w:rFonts w:cs="Times New Roman" w:ascii="Times New Roman" w:hAnsi="Times New Roman"/>
                <w:color w:val="565656"/>
                <w:sz w:val="24"/>
                <w:szCs w:val="24"/>
              </w:rPr>
              <w:t>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bg-BG" w:eastAsia="bg-BG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bg-BG" w:eastAsia="bg-BG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bg-BG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bg-BG" w:eastAsia="bg-BG"/>
              </w:rPr>
              <w:t>Съгласно мотивите по предходния коментар, като в допълнение следва да се отбележи, че в учебния план и програма е заложена темa „Основен преглед на Глобални Навигационни Спътникови Системи (ГНСС)“ с цел получаване на знания и умения за спътниковите системи както и определяне на местоположението на приемници, независимо от метеорологичните условия.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bg-BG" w:eastAsia="bg-BG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bg-BG" w:eastAsia="bg-BG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bg-BG" w:eastAsia="bg-BG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bg-BG" w:eastAsia="bg-BG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bg-BG" w:eastAsia="bg-BG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bg-BG" w:eastAsia="bg-BG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bg-BG" w:eastAsia="bg-BG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bg-BG" w:eastAsia="bg-BG"/>
              </w:rPr>
            </w:r>
          </w:p>
        </w:tc>
      </w:tr>
      <w:tr>
        <w:trPr/>
        <w:tc>
          <w:tcPr>
            <w:tcW w:w="1613" w:type="dxa"/>
            <w:tcBorders/>
            <w:shd w:color="auto" w:fill="auto" w:val="clear"/>
          </w:tcPr>
          <w:p>
            <w:pPr>
              <w:pStyle w:val="Normal"/>
              <w:shd w:val="clear" w:color="auto" w:fill="FFFFFF"/>
              <w:spacing w:lineRule="auto" w:line="240" w:before="0" w:after="9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03 ноември 2021 г. 01:25:29 ч.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ivanmihalev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</w:tc>
        <w:tc>
          <w:tcPr>
            <w:tcW w:w="6659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Коментар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6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ЕРУ 20.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Резултат от учене 20.3: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 Изгражда радио, радиорелейна, тропосферна, сателитна, проводна и оптична свръзка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Да стане "Изгражда радио, радиорелейни, тропосферни, сателитни и проводни комуникации".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Кабелните линии са медни или оптични, според материала който се използва за производството им. Словосъчетанието "проводни и оптични", е най-малкото технически неиздържано.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Знания / Умения / Компетентности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Навсякъде да се използва "комуникации" вместо "свръзки".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Резултат от учене 20.4: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 Устройва технически комуникационно-информационни възли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Знания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"Дефинира със структура елементите и видовете комуникационно-информационни възли"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Съгласно Ръководството за оперативно-техническа служба в комуникационно-информационните възли (КИВ), в БА има два вида КИВ - КИВ и опорен КИВ (ОКИВ).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 тази връзка, текстът да се промени на "Дефинира със структура елементите на комуникационно-информационните възли (КИВ) и опорните КИВ.".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ЕРУ 23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Резултат от учене 23.4: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 Обяснява осигуряване на живучестта на кораба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Умения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"Изпълнява плана за (БЖК)" да стане "Изпълнява плана за БЖК".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Резултат от учене 23.5: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 Познава преносните и стационарни средства за гасене на пожар на кораба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Резултат от учене 32.5: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 Познава преносните и стационарни средства за гасене на пожар на кораба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"преносните" да се промени на "преносимите"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Критерии за оценяване:</w:t>
            </w:r>
          </w:p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ind w:left="0" w:hanging="18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Изготвя план за осигуряване на кораба със видове доволствия и гориво-смазочни материали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"със" да стане "с"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ЕРУ 24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Резултат от учене 24.2: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 Познава свързочната материалната част на въоръжение във ВМС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"свързочната материалната част" да стане "комуникационно-информационната материална част"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Знания / Умения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"свързочна/ свързочната" да стане "комуникационна / комуникационната"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"радиосвръзката" да стане "радиокомуникациите"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ЕРУ 23 / ЕРУ 26 / ЕРУ 29 / ЕРУ 32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Резултат от учене 23.3: / Резултат от учене 26.3: / Резултат от учене 29.3: / Резултат от учене 32.3: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 Познава организацията на свръзките във ВМС на Република България и НАТО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"свръзките" да стане "комуникациите"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Знания / Умения / Компетентности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"свързочна" да стане "комуникационна"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"свръзка/и" да стане "комуникации"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"радиосвръзка"да стане "радиокомуникации"</w:t>
            </w:r>
          </w:p>
        </w:tc>
        <w:tc>
          <w:tcPr>
            <w:tcW w:w="20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  <w:t>Приема се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  <w:t>Приема се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  <w:t>Не се приема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  <w:t>Приема се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  <w:t>Приема се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  <w:t>Приема се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  <w:t>Приема се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  <w:t>Приема се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  <w:t>Приема се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bg-BG"/>
              </w:rPr>
            </w:r>
          </w:p>
        </w:tc>
        <w:tc>
          <w:tcPr>
            <w:tcW w:w="431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bg-BG" w:eastAsia="bg-BG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bg-BG" w:eastAsia="bg-BG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bg-BG" w:eastAsia="bg-BG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bg-BG" w:eastAsia="bg-BG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bg-BG" w:eastAsia="bg-BG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bg-BG" w:eastAsia="bg-BG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bg-BG" w:eastAsia="bg-BG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bg-BG" w:eastAsia="bg-BG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bg-BG" w:eastAsia="bg-BG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bg-BG" w:eastAsia="bg-BG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bg-BG" w:eastAsia="bg-BG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bg-BG" w:eastAsia="bg-BG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bg-BG" w:eastAsia="bg-BG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bg-BG" w:eastAsia="bg-BG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bg-BG" w:eastAsia="bg-BG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bg-BG" w:eastAsia="bg-BG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bg-BG" w:eastAsia="bg-BG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bg-BG" w:eastAsia="bg-BG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bg-BG" w:eastAsia="bg-BG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bg-BG" w:eastAsia="bg-BG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bg-BG" w:eastAsia="bg-BG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bg-BG" w:eastAsia="bg-BG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bg-BG" w:eastAsia="bg-BG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bg-BG" w:eastAsia="bg-BG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bg-BG" w:eastAsia="bg-BG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bg-BG" w:eastAsia="bg-BG"/>
              </w:rPr>
              <w:t>Не е необходимо да се конкретизират КИВ, съгласно условията за оборудване и разполагане, предназначението им в КИС и принадлежността им съгласно Ръководството за организацията на оперативно-техническата служба на комуникационно-информационните възли на въоръжените сили</w:t>
            </w:r>
          </w:p>
        </w:tc>
      </w:tr>
    </w:tbl>
    <w:p>
      <w:pPr>
        <w:pStyle w:val="Normal"/>
        <w:spacing w:before="120" w:after="0"/>
        <w:ind w:firstLine="708"/>
        <w:jc w:val="both"/>
        <w:rPr>
          <w:rFonts w:ascii="Times New Roman" w:hAnsi="Times New Roman"/>
          <w:b/>
          <w:b/>
          <w:sz w:val="24"/>
          <w:szCs w:val="24"/>
          <w:u w:val="single"/>
        </w:rPr>
      </w:pPr>
      <w:r>
        <w:rPr>
          <w:rFonts w:eastAsia="Times New Roman" w:ascii="Times New Roman" w:hAnsi="Times New Roman"/>
          <w:sz w:val="24"/>
          <w:szCs w:val="24"/>
          <w:u w:val="single"/>
        </w:rPr>
        <w:t xml:space="preserve">В изпълнение на чл. 26, ал. 2 от Закона за нормативните актове, проектът на </w:t>
      </w:r>
      <w:r>
        <w:rPr>
          <w:rFonts w:cs="Times New Roman" w:ascii="Times New Roman" w:hAnsi="Times New Roman"/>
          <w:sz w:val="24"/>
          <w:szCs w:val="24"/>
          <w:lang w:val="bg-BG"/>
        </w:rPr>
        <w:t>НАРЕДБА ЗА ПРИДОБИВАНЕ НА КВАЛИФИКАЦИЯ ПО ПРОФЕСИЯТА „СЕРЖАНТ (СТАРШИНА ЗА ВОЕННОМОРСКИТЕ СИЛИ) - КОМАНДИР“</w:t>
      </w:r>
      <w:r>
        <w:rPr>
          <w:rFonts w:ascii="Times New Roman" w:hAnsi="Times New Roman"/>
          <w:bCs/>
          <w:color w:val="333333"/>
          <w:sz w:val="24"/>
          <w:szCs w:val="24"/>
          <w:u w:val="single"/>
        </w:rPr>
        <w:t>, ведно с мотивите към нея</w:t>
      </w:r>
      <w:r>
        <w:rPr>
          <w:rFonts w:eastAsia="Times New Roman" w:ascii="Times New Roman" w:hAnsi="Times New Roman"/>
          <w:sz w:val="24"/>
          <w:szCs w:val="24"/>
          <w:u w:val="single"/>
        </w:rPr>
        <w:t xml:space="preserve"> са публикувани на интернет страницата на МО и на Портала за обществени консултации </w:t>
      </w:r>
      <w:r>
        <w:rPr>
          <w:rFonts w:eastAsia="Times New Roman" w:ascii="Times New Roman" w:hAnsi="Times New Roman"/>
          <w:b/>
          <w:sz w:val="24"/>
          <w:szCs w:val="24"/>
          <w:u w:val="single"/>
        </w:rPr>
        <w:t>(дата на откриване: 02.1</w:t>
      </w:r>
      <w:r>
        <w:rPr>
          <w:rFonts w:eastAsia="Times New Roman" w:ascii="Times New Roman" w:hAnsi="Times New Roman"/>
          <w:b/>
          <w:sz w:val="24"/>
          <w:szCs w:val="24"/>
          <w:u w:val="single"/>
          <w:lang w:val="bg-BG"/>
        </w:rPr>
        <w:t>1</w:t>
      </w:r>
      <w:r>
        <w:rPr>
          <w:rFonts w:eastAsia="Times New Roman" w:ascii="Times New Roman" w:hAnsi="Times New Roman"/>
          <w:b/>
          <w:sz w:val="24"/>
          <w:szCs w:val="24"/>
          <w:u w:val="single"/>
        </w:rPr>
        <w:t xml:space="preserve">.2021 г. – дата на приключване: </w:t>
      </w:r>
      <w:r>
        <w:rPr>
          <w:rFonts w:eastAsia="Times New Roman" w:ascii="Times New Roman" w:hAnsi="Times New Roman"/>
          <w:b/>
          <w:sz w:val="24"/>
          <w:szCs w:val="24"/>
          <w:u w:val="single"/>
          <w:lang w:val="bg-BG"/>
        </w:rPr>
        <w:t>02</w:t>
      </w:r>
      <w:r>
        <w:rPr>
          <w:rFonts w:eastAsia="Times New Roman" w:ascii="Times New Roman" w:hAnsi="Times New Roman"/>
          <w:b/>
          <w:sz w:val="24"/>
          <w:szCs w:val="24"/>
          <w:u w:val="single"/>
        </w:rPr>
        <w:t>.1</w:t>
      </w:r>
      <w:r>
        <w:rPr>
          <w:rFonts w:eastAsia="Times New Roman" w:ascii="Times New Roman" w:hAnsi="Times New Roman"/>
          <w:b/>
          <w:sz w:val="24"/>
          <w:szCs w:val="24"/>
          <w:u w:val="single"/>
          <w:lang w:val="bg-BG"/>
        </w:rPr>
        <w:t>2</w:t>
      </w:r>
      <w:bookmarkStart w:id="1" w:name="_GoBack"/>
      <w:bookmarkEnd w:id="1"/>
      <w:r>
        <w:rPr>
          <w:rFonts w:eastAsia="Times New Roman" w:ascii="Times New Roman" w:hAnsi="Times New Roman"/>
          <w:b/>
          <w:sz w:val="24"/>
          <w:szCs w:val="24"/>
          <w:u w:val="single"/>
        </w:rPr>
        <w:t>.2021 г.)</w:t>
      </w:r>
    </w:p>
    <w:p>
      <w:pPr>
        <w:pStyle w:val="Normal"/>
        <w:spacing w:before="0" w:after="160"/>
        <w:jc w:val="center"/>
        <w:rPr/>
      </w:pPr>
      <w:r>
        <w:rPr/>
      </w:r>
    </w:p>
    <w:sectPr>
      <w:footerReference w:type="default" r:id="rId2"/>
      <w:type w:val="nextPage"/>
      <w:pgSz w:orient="landscape" w:w="15840" w:h="12240"/>
      <w:pgMar w:left="567" w:right="672" w:header="0" w:top="993" w:footer="215" w:bottom="426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348356452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3691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17a6"/>
    <w:pPr>
      <w:keepNext w:val="true"/>
      <w:keepLines/>
      <w:spacing w:before="200" w:after="0"/>
      <w:outlineLvl w:val="3"/>
    </w:pPr>
    <w:rPr>
      <w:rFonts w:ascii="Calibri Light" w:hAnsi="Calibri Light" w:eastAsia="" w:cs="" w:asciiTheme="majorHAnsi" w:cstheme="majorBidi" w:eastAsiaTheme="majorEastAsia" w:hAnsiTheme="majorHAnsi"/>
      <w:b/>
      <w:bCs/>
      <w:i/>
      <w:iCs/>
      <w:color w:val="5B9BD5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436053"/>
    <w:rPr>
      <w:rFonts w:ascii="Tahoma" w:hAnsi="Tahoma" w:eastAsia="Calibri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6708d3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6708d3"/>
    <w:rPr/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d917a6"/>
    <w:rPr>
      <w:rFonts w:ascii="Calibri Light" w:hAnsi="Calibri Light" w:eastAsia="" w:cs="" w:asciiTheme="majorHAnsi" w:cstheme="majorBidi" w:eastAsiaTheme="majorEastAsia" w:hAnsiTheme="majorHAnsi"/>
      <w:b/>
      <w:bCs/>
      <w:i/>
      <w:iCs/>
      <w:color w:val="5B9BD5" w:themeColor="accent1"/>
    </w:rPr>
  </w:style>
  <w:style w:type="character" w:styleId="HTMLCite">
    <w:name w:val="HTML Cite"/>
    <w:basedOn w:val="DefaultParagraphFont"/>
    <w:uiPriority w:val="99"/>
    <w:semiHidden/>
    <w:unhideWhenUsed/>
    <w:qFormat/>
    <w:rsid w:val="00f41665"/>
    <w:rPr>
      <w:i/>
      <w:iCs/>
    </w:rPr>
  </w:style>
  <w:style w:type="character" w:styleId="ListLabel1" w:customStyle="1">
    <w:name w:val="ListLabel 1"/>
    <w:qFormat/>
    <w:rPr>
      <w:rFonts w:eastAsia="Times New Roman" w:cs="Times New Roman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ascii="Times New Roman" w:hAnsi="Times New Roman"/>
      <w:sz w:val="24"/>
    </w:rPr>
  </w:style>
  <w:style w:type="character" w:styleId="ListLabel6" w:customStyle="1">
    <w:name w:val="ListLabel 6"/>
    <w:qFormat/>
    <w:rPr>
      <w:sz w:val="20"/>
    </w:rPr>
  </w:style>
  <w:style w:type="character" w:styleId="ListLabel7" w:customStyle="1">
    <w:name w:val="ListLabel 7"/>
    <w:qFormat/>
    <w:rPr>
      <w:sz w:val="20"/>
    </w:rPr>
  </w:style>
  <w:style w:type="character" w:styleId="ListLabel8" w:customStyle="1">
    <w:name w:val="ListLabel 8"/>
    <w:qFormat/>
    <w:rPr>
      <w:sz w:val="20"/>
    </w:rPr>
  </w:style>
  <w:style w:type="character" w:styleId="ListLabel9" w:customStyle="1">
    <w:name w:val="ListLabel 9"/>
    <w:qFormat/>
    <w:rPr>
      <w:sz w:val="20"/>
    </w:rPr>
  </w:style>
  <w:style w:type="character" w:styleId="ListLabel10" w:customStyle="1">
    <w:name w:val="ListLabel 10"/>
    <w:qFormat/>
    <w:rPr>
      <w:sz w:val="20"/>
    </w:rPr>
  </w:style>
  <w:style w:type="character" w:styleId="ListLabel11" w:customStyle="1">
    <w:name w:val="ListLabel 11"/>
    <w:qFormat/>
    <w:rPr>
      <w:sz w:val="20"/>
    </w:rPr>
  </w:style>
  <w:style w:type="character" w:styleId="ListLabel12" w:customStyle="1">
    <w:name w:val="ListLabel 12"/>
    <w:qFormat/>
    <w:rPr>
      <w:sz w:val="20"/>
    </w:rPr>
  </w:style>
  <w:style w:type="character" w:styleId="ListLabel13" w:customStyle="1">
    <w:name w:val="ListLabel 13"/>
    <w:qFormat/>
    <w:rPr>
      <w:sz w:val="20"/>
    </w:rPr>
  </w:style>
  <w:style w:type="character" w:styleId="ListLabel14" w:customStyle="1">
    <w:name w:val="ListLabel 14"/>
    <w:qFormat/>
    <w:rPr>
      <w:rFonts w:ascii="Times New Roman" w:hAnsi="Times New Roman"/>
      <w:sz w:val="24"/>
    </w:rPr>
  </w:style>
  <w:style w:type="character" w:styleId="ListLabel15" w:customStyle="1">
    <w:name w:val="ListLabel 15"/>
    <w:qFormat/>
    <w:rPr>
      <w:sz w:val="20"/>
    </w:rPr>
  </w:style>
  <w:style w:type="character" w:styleId="ListLabel16" w:customStyle="1">
    <w:name w:val="ListLabel 16"/>
    <w:qFormat/>
    <w:rPr>
      <w:sz w:val="20"/>
    </w:rPr>
  </w:style>
  <w:style w:type="character" w:styleId="ListLabel17" w:customStyle="1">
    <w:name w:val="ListLabel 17"/>
    <w:qFormat/>
    <w:rPr>
      <w:sz w:val="20"/>
    </w:rPr>
  </w:style>
  <w:style w:type="character" w:styleId="ListLabel18" w:customStyle="1">
    <w:name w:val="ListLabel 18"/>
    <w:qFormat/>
    <w:rPr>
      <w:sz w:val="20"/>
    </w:rPr>
  </w:style>
  <w:style w:type="character" w:styleId="ListLabel19" w:customStyle="1">
    <w:name w:val="ListLabel 19"/>
    <w:qFormat/>
    <w:rPr>
      <w:sz w:val="20"/>
    </w:rPr>
  </w:style>
  <w:style w:type="character" w:styleId="ListLabel20" w:customStyle="1">
    <w:name w:val="ListLabel 20"/>
    <w:qFormat/>
    <w:rPr>
      <w:sz w:val="20"/>
    </w:rPr>
  </w:style>
  <w:style w:type="character" w:styleId="ListLabel21" w:customStyle="1">
    <w:name w:val="ListLabel 21"/>
    <w:qFormat/>
    <w:rPr>
      <w:sz w:val="20"/>
    </w:rPr>
  </w:style>
  <w:style w:type="character" w:styleId="ListLabel22" w:customStyle="1">
    <w:name w:val="ListLabel 22"/>
    <w:qFormat/>
    <w:rPr>
      <w:sz w:val="20"/>
    </w:rPr>
  </w:style>
  <w:style w:type="character" w:styleId="ListLabel23" w:customStyle="1">
    <w:name w:val="ListLabel 23"/>
    <w:qFormat/>
    <w:rPr>
      <w:rFonts w:ascii="Times New Roman" w:hAnsi="Times New Roman"/>
      <w:sz w:val="24"/>
    </w:rPr>
  </w:style>
  <w:style w:type="character" w:styleId="ListLabel24" w:customStyle="1">
    <w:name w:val="ListLabel 24"/>
    <w:qFormat/>
    <w:rPr>
      <w:sz w:val="20"/>
    </w:rPr>
  </w:style>
  <w:style w:type="character" w:styleId="ListLabel25" w:customStyle="1">
    <w:name w:val="ListLabel 25"/>
    <w:qFormat/>
    <w:rPr>
      <w:sz w:val="20"/>
    </w:rPr>
  </w:style>
  <w:style w:type="character" w:styleId="ListLabel26" w:customStyle="1">
    <w:name w:val="ListLabel 26"/>
    <w:qFormat/>
    <w:rPr>
      <w:sz w:val="20"/>
    </w:rPr>
  </w:style>
  <w:style w:type="character" w:styleId="ListLabel27" w:customStyle="1">
    <w:name w:val="ListLabel 27"/>
    <w:qFormat/>
    <w:rPr>
      <w:sz w:val="20"/>
    </w:rPr>
  </w:style>
  <w:style w:type="character" w:styleId="ListLabel28" w:customStyle="1">
    <w:name w:val="ListLabel 28"/>
    <w:qFormat/>
    <w:rPr>
      <w:sz w:val="20"/>
    </w:rPr>
  </w:style>
  <w:style w:type="character" w:styleId="ListLabel29" w:customStyle="1">
    <w:name w:val="ListLabel 29"/>
    <w:qFormat/>
    <w:rPr>
      <w:sz w:val="20"/>
    </w:rPr>
  </w:style>
  <w:style w:type="character" w:styleId="ListLabel30" w:customStyle="1">
    <w:name w:val="ListLabel 30"/>
    <w:qFormat/>
    <w:rPr>
      <w:sz w:val="20"/>
    </w:rPr>
  </w:style>
  <w:style w:type="character" w:styleId="ListLabel31" w:customStyle="1">
    <w:name w:val="ListLabel 31"/>
    <w:qFormat/>
    <w:rPr>
      <w:sz w:val="20"/>
    </w:rPr>
  </w:style>
  <w:style w:type="character" w:styleId="ListLabel32" w:customStyle="1">
    <w:name w:val="ListLabel 32"/>
    <w:qFormat/>
    <w:rPr>
      <w:rFonts w:ascii="Times New Roman" w:hAnsi="Times New Roman"/>
      <w:sz w:val="24"/>
    </w:rPr>
  </w:style>
  <w:style w:type="character" w:styleId="ListLabel33" w:customStyle="1">
    <w:name w:val="ListLabel 33"/>
    <w:qFormat/>
    <w:rPr>
      <w:sz w:val="20"/>
    </w:rPr>
  </w:style>
  <w:style w:type="character" w:styleId="ListLabel34" w:customStyle="1">
    <w:name w:val="ListLabel 34"/>
    <w:qFormat/>
    <w:rPr>
      <w:sz w:val="20"/>
    </w:rPr>
  </w:style>
  <w:style w:type="character" w:styleId="ListLabel35" w:customStyle="1">
    <w:name w:val="ListLabel 35"/>
    <w:qFormat/>
    <w:rPr>
      <w:sz w:val="20"/>
    </w:rPr>
  </w:style>
  <w:style w:type="character" w:styleId="ListLabel36" w:customStyle="1">
    <w:name w:val="ListLabel 36"/>
    <w:qFormat/>
    <w:rPr>
      <w:sz w:val="20"/>
    </w:rPr>
  </w:style>
  <w:style w:type="character" w:styleId="ListLabel37" w:customStyle="1">
    <w:name w:val="ListLabel 37"/>
    <w:qFormat/>
    <w:rPr>
      <w:sz w:val="20"/>
    </w:rPr>
  </w:style>
  <w:style w:type="character" w:styleId="ListLabel38" w:customStyle="1">
    <w:name w:val="ListLabel 38"/>
    <w:qFormat/>
    <w:rPr>
      <w:sz w:val="20"/>
    </w:rPr>
  </w:style>
  <w:style w:type="character" w:styleId="ListLabel39" w:customStyle="1">
    <w:name w:val="ListLabel 39"/>
    <w:qFormat/>
    <w:rPr>
      <w:sz w:val="20"/>
    </w:rPr>
  </w:style>
  <w:style w:type="character" w:styleId="ListLabel40" w:customStyle="1">
    <w:name w:val="ListLabel 40"/>
    <w:qFormat/>
    <w:rPr>
      <w:sz w:val="20"/>
    </w:rPr>
  </w:style>
  <w:style w:type="character" w:styleId="ListLabel41" w:customStyle="1">
    <w:name w:val="ListLabel 41"/>
    <w:qFormat/>
    <w:rPr>
      <w:rFonts w:ascii="Times New Roman" w:hAnsi="Times New Roman"/>
      <w:sz w:val="24"/>
    </w:rPr>
  </w:style>
  <w:style w:type="character" w:styleId="ListLabel42" w:customStyle="1">
    <w:name w:val="ListLabel 42"/>
    <w:qFormat/>
    <w:rPr>
      <w:sz w:val="20"/>
    </w:rPr>
  </w:style>
  <w:style w:type="character" w:styleId="ListLabel43" w:customStyle="1">
    <w:name w:val="ListLabel 43"/>
    <w:qFormat/>
    <w:rPr>
      <w:sz w:val="20"/>
    </w:rPr>
  </w:style>
  <w:style w:type="character" w:styleId="ListLabel44" w:customStyle="1">
    <w:name w:val="ListLabel 44"/>
    <w:qFormat/>
    <w:rPr>
      <w:sz w:val="20"/>
    </w:rPr>
  </w:style>
  <w:style w:type="character" w:styleId="ListLabel45" w:customStyle="1">
    <w:name w:val="ListLabel 45"/>
    <w:qFormat/>
    <w:rPr>
      <w:sz w:val="20"/>
    </w:rPr>
  </w:style>
  <w:style w:type="character" w:styleId="ListLabel46" w:customStyle="1">
    <w:name w:val="ListLabel 46"/>
    <w:qFormat/>
    <w:rPr>
      <w:sz w:val="20"/>
    </w:rPr>
  </w:style>
  <w:style w:type="character" w:styleId="ListLabel47" w:customStyle="1">
    <w:name w:val="ListLabel 47"/>
    <w:qFormat/>
    <w:rPr>
      <w:sz w:val="20"/>
    </w:rPr>
  </w:style>
  <w:style w:type="character" w:styleId="ListLabel48" w:customStyle="1">
    <w:name w:val="ListLabel 48"/>
    <w:qFormat/>
    <w:rPr>
      <w:sz w:val="20"/>
    </w:rPr>
  </w:style>
  <w:style w:type="character" w:styleId="ListLabel49" w:customStyle="1">
    <w:name w:val="ListLabel 49"/>
    <w:qFormat/>
    <w:rPr>
      <w:sz w:val="20"/>
    </w:rPr>
  </w:style>
  <w:style w:type="character" w:styleId="ListLabel50" w:customStyle="1">
    <w:name w:val="ListLabel 50"/>
    <w:qFormat/>
    <w:rPr>
      <w:sz w:val="20"/>
    </w:rPr>
  </w:style>
  <w:style w:type="character" w:styleId="ListLabel51" w:customStyle="1">
    <w:name w:val="ListLabel 51"/>
    <w:qFormat/>
    <w:rPr>
      <w:sz w:val="20"/>
    </w:rPr>
  </w:style>
  <w:style w:type="character" w:styleId="ListLabel52" w:customStyle="1">
    <w:name w:val="ListLabel 52"/>
    <w:qFormat/>
    <w:rPr>
      <w:sz w:val="20"/>
    </w:rPr>
  </w:style>
  <w:style w:type="character" w:styleId="ListLabel53" w:customStyle="1">
    <w:name w:val="ListLabel 53"/>
    <w:qFormat/>
    <w:rPr>
      <w:sz w:val="20"/>
    </w:rPr>
  </w:style>
  <w:style w:type="character" w:styleId="ListLabel54" w:customStyle="1">
    <w:name w:val="ListLabel 54"/>
    <w:qFormat/>
    <w:rPr>
      <w:sz w:val="20"/>
    </w:rPr>
  </w:style>
  <w:style w:type="character" w:styleId="ListLabel55" w:customStyle="1">
    <w:name w:val="ListLabel 55"/>
    <w:qFormat/>
    <w:rPr>
      <w:sz w:val="20"/>
    </w:rPr>
  </w:style>
  <w:style w:type="character" w:styleId="ListLabel56" w:customStyle="1">
    <w:name w:val="ListLabel 56"/>
    <w:qFormat/>
    <w:rPr>
      <w:sz w:val="20"/>
    </w:rPr>
  </w:style>
  <w:style w:type="character" w:styleId="ListLabel57" w:customStyle="1">
    <w:name w:val="ListLabel 57"/>
    <w:qFormat/>
    <w:rPr>
      <w:sz w:val="20"/>
    </w:rPr>
  </w:style>
  <w:style w:type="character" w:styleId="ListLabel58" w:customStyle="1">
    <w:name w:val="ListLabel 58"/>
    <w:qFormat/>
    <w:rPr>
      <w:sz w:val="20"/>
    </w:rPr>
  </w:style>
  <w:style w:type="character" w:styleId="Heading1Char" w:customStyle="1">
    <w:name w:val="Heading 1 Char"/>
    <w:basedOn w:val="DefaultParagraphFont"/>
    <w:link w:val="Heading1"/>
    <w:uiPriority w:val="9"/>
    <w:qFormat/>
    <w:rsid w:val="000b3691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InternetLink" w:customStyle="1">
    <w:name w:val="Internet Link"/>
    <w:rsid w:val="008912dd"/>
    <w:rPr>
      <w:color w:val="000080"/>
      <w:u w:val="single"/>
    </w:rPr>
  </w:style>
  <w:style w:type="character" w:styleId="ListLabel59">
    <w:name w:val="ListLabel 59"/>
    <w:qFormat/>
    <w:rPr>
      <w:rFonts w:ascii="Times New Roman" w:hAnsi="Times New Roman" w:cs="Symbol"/>
      <w:sz w:val="24"/>
    </w:rPr>
  </w:style>
  <w:style w:type="character" w:styleId="ListLabel60">
    <w:name w:val="ListLabel 60"/>
    <w:qFormat/>
    <w:rPr>
      <w:rFonts w:cs="Courier New"/>
      <w:sz w:val="20"/>
    </w:rPr>
  </w:style>
  <w:style w:type="character" w:styleId="ListLabel61">
    <w:name w:val="ListLabel 61"/>
    <w:qFormat/>
    <w:rPr>
      <w:rFonts w:cs="Wingdings"/>
      <w:sz w:val="20"/>
    </w:rPr>
  </w:style>
  <w:style w:type="character" w:styleId="ListLabel62">
    <w:name w:val="ListLabel 62"/>
    <w:qFormat/>
    <w:rPr>
      <w:rFonts w:cs="Wingdings"/>
      <w:sz w:val="20"/>
    </w:rPr>
  </w:style>
  <w:style w:type="character" w:styleId="ListLabel63">
    <w:name w:val="ListLabel 63"/>
    <w:qFormat/>
    <w:rPr>
      <w:rFonts w:cs="Wingdings"/>
      <w:sz w:val="20"/>
    </w:rPr>
  </w:style>
  <w:style w:type="character" w:styleId="ListLabel64">
    <w:name w:val="ListLabel 64"/>
    <w:qFormat/>
    <w:rPr>
      <w:rFonts w:cs="Wingdings"/>
      <w:sz w:val="20"/>
    </w:rPr>
  </w:style>
  <w:style w:type="character" w:styleId="ListLabel65">
    <w:name w:val="ListLabel 65"/>
    <w:qFormat/>
    <w:rPr>
      <w:rFonts w:cs="Wingdings"/>
      <w:sz w:val="20"/>
    </w:rPr>
  </w:style>
  <w:style w:type="character" w:styleId="ListLabel66">
    <w:name w:val="ListLabel 66"/>
    <w:qFormat/>
    <w:rPr>
      <w:rFonts w:cs="Wingdings"/>
      <w:sz w:val="20"/>
    </w:rPr>
  </w:style>
  <w:style w:type="character" w:styleId="ListLabel67">
    <w:name w:val="ListLabel 67"/>
    <w:qFormat/>
    <w:rPr>
      <w:rFonts w:cs="Wingdings"/>
      <w:sz w:val="20"/>
    </w:rPr>
  </w:style>
  <w:style w:type="character" w:styleId="ListLabel68">
    <w:name w:val="ListLabel 68"/>
    <w:qFormat/>
    <w:rPr>
      <w:rFonts w:ascii="Times New Roman" w:hAnsi="Times New Roman" w:cs="Symbol"/>
      <w:sz w:val="24"/>
    </w:rPr>
  </w:style>
  <w:style w:type="character" w:styleId="ListLabel69">
    <w:name w:val="ListLabel 69"/>
    <w:qFormat/>
    <w:rPr>
      <w:rFonts w:cs="Courier New"/>
      <w:sz w:val="20"/>
    </w:rPr>
  </w:style>
  <w:style w:type="character" w:styleId="ListLabel70">
    <w:name w:val="ListLabel 70"/>
    <w:qFormat/>
    <w:rPr>
      <w:rFonts w:cs="Wingdings"/>
      <w:sz w:val="20"/>
    </w:rPr>
  </w:style>
  <w:style w:type="character" w:styleId="ListLabel71">
    <w:name w:val="ListLabel 71"/>
    <w:qFormat/>
    <w:rPr>
      <w:rFonts w:cs="Wingdings"/>
      <w:sz w:val="20"/>
    </w:rPr>
  </w:style>
  <w:style w:type="character" w:styleId="ListLabel72">
    <w:name w:val="ListLabel 72"/>
    <w:qFormat/>
    <w:rPr>
      <w:rFonts w:cs="Wingdings"/>
      <w:sz w:val="20"/>
    </w:rPr>
  </w:style>
  <w:style w:type="character" w:styleId="ListLabel73">
    <w:name w:val="ListLabel 73"/>
    <w:qFormat/>
    <w:rPr>
      <w:rFonts w:cs="Wingdings"/>
      <w:sz w:val="20"/>
    </w:rPr>
  </w:style>
  <w:style w:type="character" w:styleId="ListLabel74">
    <w:name w:val="ListLabel 74"/>
    <w:qFormat/>
    <w:rPr>
      <w:rFonts w:cs="Wingdings"/>
      <w:sz w:val="20"/>
    </w:rPr>
  </w:style>
  <w:style w:type="character" w:styleId="ListLabel75">
    <w:name w:val="ListLabel 75"/>
    <w:qFormat/>
    <w:rPr>
      <w:rFonts w:cs="Wingdings"/>
      <w:sz w:val="20"/>
    </w:rPr>
  </w:style>
  <w:style w:type="character" w:styleId="ListLabel76">
    <w:name w:val="ListLabel 76"/>
    <w:qFormat/>
    <w:rPr>
      <w:rFonts w:cs="Wingdings"/>
      <w:sz w:val="20"/>
    </w:rPr>
  </w:style>
  <w:style w:type="character" w:styleId="ListLabel77">
    <w:name w:val="ListLabel 77"/>
    <w:qFormat/>
    <w:rPr>
      <w:rFonts w:ascii="Times New Roman" w:hAnsi="Times New Roman" w:cs="Symbol"/>
      <w:sz w:val="24"/>
    </w:rPr>
  </w:style>
  <w:style w:type="character" w:styleId="ListLabel78">
    <w:name w:val="ListLabel 78"/>
    <w:qFormat/>
    <w:rPr>
      <w:rFonts w:cs="Courier New"/>
      <w:sz w:val="20"/>
    </w:rPr>
  </w:style>
  <w:style w:type="character" w:styleId="ListLabel79">
    <w:name w:val="ListLabel 79"/>
    <w:qFormat/>
    <w:rPr>
      <w:rFonts w:cs="Wingdings"/>
      <w:sz w:val="20"/>
    </w:rPr>
  </w:style>
  <w:style w:type="character" w:styleId="ListLabel80">
    <w:name w:val="ListLabel 80"/>
    <w:qFormat/>
    <w:rPr>
      <w:rFonts w:cs="Wingdings"/>
      <w:sz w:val="20"/>
    </w:rPr>
  </w:style>
  <w:style w:type="character" w:styleId="ListLabel81">
    <w:name w:val="ListLabel 81"/>
    <w:qFormat/>
    <w:rPr>
      <w:rFonts w:cs="Wingdings"/>
      <w:sz w:val="20"/>
    </w:rPr>
  </w:style>
  <w:style w:type="character" w:styleId="ListLabel82">
    <w:name w:val="ListLabel 82"/>
    <w:qFormat/>
    <w:rPr>
      <w:rFonts w:cs="Wingdings"/>
      <w:sz w:val="20"/>
    </w:rPr>
  </w:style>
  <w:style w:type="character" w:styleId="ListLabel83">
    <w:name w:val="ListLabel 83"/>
    <w:qFormat/>
    <w:rPr>
      <w:rFonts w:cs="Wingdings"/>
      <w:sz w:val="20"/>
    </w:rPr>
  </w:style>
  <w:style w:type="character" w:styleId="ListLabel84">
    <w:name w:val="ListLabel 84"/>
    <w:qFormat/>
    <w:rPr>
      <w:rFonts w:cs="Wingdings"/>
      <w:sz w:val="20"/>
    </w:rPr>
  </w:style>
  <w:style w:type="character" w:styleId="ListLabel85">
    <w:name w:val="ListLabel 85"/>
    <w:qFormat/>
    <w:rPr>
      <w:rFonts w:cs="Wingdings"/>
      <w:sz w:val="20"/>
    </w:rPr>
  </w:style>
  <w:style w:type="character" w:styleId="ListLabel86">
    <w:name w:val="ListLabel 86"/>
    <w:qFormat/>
    <w:rPr>
      <w:rFonts w:ascii="Times New Roman" w:hAnsi="Times New Roman" w:cs="Symbol"/>
      <w:sz w:val="24"/>
    </w:rPr>
  </w:style>
  <w:style w:type="character" w:styleId="ListLabel87">
    <w:name w:val="ListLabel 87"/>
    <w:qFormat/>
    <w:rPr>
      <w:rFonts w:cs="Courier New"/>
      <w:sz w:val="20"/>
    </w:rPr>
  </w:style>
  <w:style w:type="character" w:styleId="ListLabel88">
    <w:name w:val="ListLabel 88"/>
    <w:qFormat/>
    <w:rPr>
      <w:rFonts w:cs="Wingdings"/>
      <w:sz w:val="20"/>
    </w:rPr>
  </w:style>
  <w:style w:type="character" w:styleId="ListLabel89">
    <w:name w:val="ListLabel 89"/>
    <w:qFormat/>
    <w:rPr>
      <w:rFonts w:cs="Wingdings"/>
      <w:sz w:val="20"/>
    </w:rPr>
  </w:style>
  <w:style w:type="character" w:styleId="ListLabel90">
    <w:name w:val="ListLabel 90"/>
    <w:qFormat/>
    <w:rPr>
      <w:rFonts w:cs="Wingdings"/>
      <w:sz w:val="20"/>
    </w:rPr>
  </w:style>
  <w:style w:type="character" w:styleId="ListLabel91">
    <w:name w:val="ListLabel 91"/>
    <w:qFormat/>
    <w:rPr>
      <w:rFonts w:cs="Wingdings"/>
      <w:sz w:val="20"/>
    </w:rPr>
  </w:style>
  <w:style w:type="character" w:styleId="ListLabel92">
    <w:name w:val="ListLabel 92"/>
    <w:qFormat/>
    <w:rPr>
      <w:rFonts w:cs="Wingdings"/>
      <w:sz w:val="20"/>
    </w:rPr>
  </w:style>
  <w:style w:type="character" w:styleId="ListLabel93">
    <w:name w:val="ListLabel 93"/>
    <w:qFormat/>
    <w:rPr>
      <w:rFonts w:cs="Wingdings"/>
      <w:sz w:val="20"/>
    </w:rPr>
  </w:style>
  <w:style w:type="character" w:styleId="ListLabel94">
    <w:name w:val="ListLabel 94"/>
    <w:qFormat/>
    <w:rPr>
      <w:rFonts w:cs="Wingdings"/>
      <w:sz w:val="20"/>
    </w:rPr>
  </w:style>
  <w:style w:type="character" w:styleId="ListLabel95">
    <w:name w:val="ListLabel 95"/>
    <w:qFormat/>
    <w:rPr>
      <w:rFonts w:ascii="Times New Roman" w:hAnsi="Times New Roman" w:cs="Symbol"/>
      <w:sz w:val="24"/>
    </w:rPr>
  </w:style>
  <w:style w:type="character" w:styleId="ListLabel96">
    <w:name w:val="ListLabel 96"/>
    <w:qFormat/>
    <w:rPr>
      <w:rFonts w:cs="Courier New"/>
      <w:sz w:val="20"/>
    </w:rPr>
  </w:style>
  <w:style w:type="character" w:styleId="ListLabel97">
    <w:name w:val="ListLabel 97"/>
    <w:qFormat/>
    <w:rPr>
      <w:rFonts w:cs="Wingdings"/>
      <w:sz w:val="20"/>
    </w:rPr>
  </w:style>
  <w:style w:type="character" w:styleId="ListLabel98">
    <w:name w:val="ListLabel 98"/>
    <w:qFormat/>
    <w:rPr>
      <w:rFonts w:cs="Wingdings"/>
      <w:sz w:val="20"/>
    </w:rPr>
  </w:style>
  <w:style w:type="character" w:styleId="ListLabel99">
    <w:name w:val="ListLabel 99"/>
    <w:qFormat/>
    <w:rPr>
      <w:rFonts w:cs="Wingdings"/>
      <w:sz w:val="20"/>
    </w:rPr>
  </w:style>
  <w:style w:type="character" w:styleId="ListLabel100">
    <w:name w:val="ListLabel 100"/>
    <w:qFormat/>
    <w:rPr>
      <w:rFonts w:cs="Wingdings"/>
      <w:sz w:val="20"/>
    </w:rPr>
  </w:style>
  <w:style w:type="character" w:styleId="ListLabel101">
    <w:name w:val="ListLabel 101"/>
    <w:qFormat/>
    <w:rPr>
      <w:rFonts w:cs="Wingdings"/>
      <w:sz w:val="20"/>
    </w:rPr>
  </w:style>
  <w:style w:type="character" w:styleId="ListLabel102">
    <w:name w:val="ListLabel 102"/>
    <w:qFormat/>
    <w:rPr>
      <w:rFonts w:cs="Wingdings"/>
      <w:sz w:val="20"/>
    </w:rPr>
  </w:style>
  <w:style w:type="character" w:styleId="ListLabel103">
    <w:name w:val="ListLabel 103"/>
    <w:qFormat/>
    <w:rPr>
      <w:rFonts w:cs="Wingdings"/>
      <w:sz w:val="20"/>
    </w:rPr>
  </w:style>
  <w:style w:type="character" w:styleId="ListLabel104">
    <w:name w:val="ListLabel 104"/>
    <w:qFormat/>
    <w:rPr>
      <w:rFonts w:ascii="Times New Roman" w:hAnsi="Times New Roman" w:eastAsia="Calibri" w:cs="Times New Roman"/>
      <w:color w:val="auto"/>
      <w:sz w:val="24"/>
      <w:szCs w:val="24"/>
      <w:u w:val="none"/>
      <w:lang w:val="bg-BG" w:eastAsia="bg-BG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Arial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Default" w:customStyle="1">
    <w:name w:val="Default"/>
    <w:qFormat/>
    <w:rsid w:val="00644c92"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bg-BG" w:eastAsia="bg-BG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36053"/>
    <w:pPr>
      <w:spacing w:lineRule="auto" w:line="240" w:before="0" w:after="0"/>
    </w:pPr>
    <w:rPr>
      <w:rFonts w:ascii="Tahoma" w:hAnsi="Tahoma" w:eastAsia="Calibri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708d3"/>
    <w:pPr>
      <w:tabs>
        <w:tab w:val="clear" w:pos="720"/>
        <w:tab w:val="center" w:pos="4703" w:leader="none"/>
        <w:tab w:val="right" w:pos="940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6708d3"/>
    <w:pPr>
      <w:tabs>
        <w:tab w:val="clear" w:pos="720"/>
        <w:tab w:val="center" w:pos="4703" w:leader="none"/>
        <w:tab w:val="right" w:pos="9406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semiHidden/>
    <w:unhideWhenUsed/>
    <w:qFormat/>
    <w:rsid w:val="002417a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bb77f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Trio_Office/6.2.8.2$Windows_x86 LibreOffice_project/</Application>
  <Pages>8</Pages>
  <Words>1942</Words>
  <Characters>11517</Characters>
  <CharactersWithSpaces>13326</CharactersWithSpaces>
  <Paragraphs>155</Paragraphs>
  <Company>MOD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2021-12-21T08:52:00Z</dcterms:created>
  <dc:creator>Yordan Z. Petkov</dc:creator>
  <dc:description/>
  <dc:language>en-US</dc:language>
  <cp:lastModifiedBy>Milena Petrova</cp:lastModifiedBy>
  <cp:lastPrinted>2021-12-21T09:04:00Z</cp:lastPrinted>
  <dcterms:modified xsi:type="dcterms:W3CDTF">2021-12-21T09:08:00Z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MOD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